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135EA48E"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4CE8B9D4" w:rsid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B3201C">
        <w:rPr>
          <w:rFonts w:ascii="Times New Roman" w:hAnsi="Times New Roman" w:cs="Times New Roman"/>
          <w:b/>
          <w:szCs w:val="24"/>
        </w:rPr>
        <w:t>February 10</w:t>
      </w:r>
      <w:r w:rsidR="00EE01B3">
        <w:rPr>
          <w:rFonts w:ascii="Times New Roman" w:hAnsi="Times New Roman" w:cs="Times New Roman"/>
          <w:b/>
          <w:szCs w:val="24"/>
        </w:rPr>
        <w:t>, 202</w:t>
      </w:r>
      <w:r w:rsidR="00EF586B">
        <w:rPr>
          <w:rFonts w:ascii="Times New Roman" w:hAnsi="Times New Roman" w:cs="Times New Roman"/>
          <w:b/>
          <w:szCs w:val="24"/>
        </w:rPr>
        <w:t>6</w:t>
      </w:r>
    </w:p>
    <w:p w14:paraId="7B032C16" w14:textId="678A5824" w:rsidR="00992A82" w:rsidRPr="00F7736F" w:rsidRDefault="00992A82" w:rsidP="00992A82">
      <w:pPr>
        <w:spacing w:after="0"/>
        <w:ind w:left="360" w:firstLine="0"/>
        <w:jc w:val="center"/>
        <w:rPr>
          <w:rFonts w:ascii="Times New Roman" w:hAnsi="Times New Roman" w:cs="Times New Roman"/>
          <w:b/>
          <w:szCs w:val="24"/>
        </w:rPr>
      </w:pPr>
      <w:hyperlink r:id="rId10" w:history="1">
        <w:r w:rsidRPr="00992A82">
          <w:rPr>
            <w:rStyle w:val="Hyperlink"/>
            <w:rFonts w:ascii="Times New Roman" w:hAnsi="Times New Roman" w:cs="Times New Roman"/>
            <w:b/>
            <w:szCs w:val="24"/>
          </w:rPr>
          <w:t>https://okstate-edu.zoom.us/j/97132843836</w:t>
        </w:r>
      </w:hyperlink>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0E80C59F"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Approval of the</w:t>
      </w:r>
      <w:r w:rsidR="00412EFB">
        <w:rPr>
          <w:rFonts w:ascii="Times New Roman" w:hAnsi="Times New Roman" w:cs="Times New Roman"/>
          <w:color w:val="auto"/>
          <w:szCs w:val="24"/>
        </w:rPr>
        <w:t xml:space="preserve"> </w:t>
      </w:r>
      <w:r w:rsidR="00B3201C">
        <w:rPr>
          <w:rFonts w:ascii="Times New Roman" w:hAnsi="Times New Roman" w:cs="Times New Roman"/>
          <w:color w:val="auto"/>
          <w:szCs w:val="24"/>
        </w:rPr>
        <w:t>January 13</w:t>
      </w:r>
      <w:r w:rsidR="00C43109">
        <w:rPr>
          <w:rFonts w:ascii="Times New Roman" w:hAnsi="Times New Roman" w:cs="Times New Roman"/>
          <w:color w:val="auto"/>
          <w:szCs w:val="24"/>
        </w:rPr>
        <w:t xml:space="preserve">, </w:t>
      </w:r>
      <w:proofErr w:type="gramStart"/>
      <w:r w:rsidR="00C43109">
        <w:rPr>
          <w:rFonts w:ascii="Times New Roman" w:hAnsi="Times New Roman" w:cs="Times New Roman"/>
          <w:color w:val="auto"/>
          <w:szCs w:val="24"/>
        </w:rPr>
        <w:t>20</w:t>
      </w:r>
      <w:r w:rsidR="007B6A18">
        <w:rPr>
          <w:rFonts w:ascii="Times New Roman" w:hAnsi="Times New Roman" w:cs="Times New Roman"/>
          <w:color w:val="auto"/>
          <w:szCs w:val="24"/>
        </w:rPr>
        <w:t>2</w:t>
      </w:r>
      <w:r w:rsidR="009A2E2B">
        <w:rPr>
          <w:rFonts w:ascii="Times New Roman" w:hAnsi="Times New Roman" w:cs="Times New Roman"/>
          <w:color w:val="auto"/>
          <w:szCs w:val="24"/>
        </w:rPr>
        <w:t>6</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378A2D39" w:rsidR="00962953" w:rsidRDefault="00962953"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905EA8">
        <w:rPr>
          <w:rFonts w:ascii="Times New Roman" w:hAnsi="Times New Roman" w:cs="Times New Roman"/>
          <w:szCs w:val="24"/>
        </w:rPr>
        <w:t xml:space="preserve">  </w:t>
      </w:r>
      <w:r w:rsidR="00E96FEA">
        <w:rPr>
          <w:rFonts w:ascii="Times New Roman" w:hAnsi="Times New Roman" w:cs="Times New Roman"/>
          <w:szCs w:val="24"/>
        </w:rPr>
        <w:t xml:space="preserve">Jon Rice – EAB - Student Characteristics, Job </w:t>
      </w:r>
      <w:r w:rsidR="0075347A">
        <w:rPr>
          <w:rFonts w:ascii="Times New Roman" w:hAnsi="Times New Roman" w:cs="Times New Roman"/>
          <w:szCs w:val="24"/>
        </w:rPr>
        <w:t>M</w:t>
      </w:r>
      <w:r w:rsidR="00E96FEA">
        <w:rPr>
          <w:rFonts w:ascii="Times New Roman" w:hAnsi="Times New Roman" w:cs="Times New Roman"/>
          <w:szCs w:val="24"/>
        </w:rPr>
        <w:t xml:space="preserve">arket </w:t>
      </w:r>
      <w:r w:rsidR="0075347A">
        <w:rPr>
          <w:rFonts w:ascii="Times New Roman" w:hAnsi="Times New Roman" w:cs="Times New Roman"/>
          <w:szCs w:val="24"/>
        </w:rPr>
        <w:t>R</w:t>
      </w:r>
      <w:r w:rsidR="00E96FEA">
        <w:rPr>
          <w:rFonts w:ascii="Times New Roman" w:hAnsi="Times New Roman" w:cs="Times New Roman"/>
          <w:szCs w:val="24"/>
        </w:rPr>
        <w:t>ealities and AI</w:t>
      </w:r>
    </w:p>
    <w:p w14:paraId="75B5CBDB" w14:textId="51C5B910"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0D32A7D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Faculty Council Chair’s report</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w:t>
      </w:r>
      <w:proofErr w:type="gramStart"/>
      <w:r w:rsidRPr="00F7736F">
        <w:rPr>
          <w:rFonts w:ascii="Times New Roman" w:hAnsi="Times New Roman" w:cs="Times New Roman"/>
          <w:szCs w:val="24"/>
        </w:rPr>
        <w:t>of</w:t>
      </w:r>
      <w:proofErr w:type="gramEnd"/>
      <w:r w:rsidRPr="00F7736F">
        <w:rPr>
          <w:rFonts w:ascii="Times New Roman" w:hAnsi="Times New Roman" w:cs="Times New Roman"/>
          <w:szCs w:val="24"/>
        </w:rPr>
        <w:t xml:space="preserve"> liaison representatives</w:t>
      </w:r>
    </w:p>
    <w:p w14:paraId="27B6A436" w14:textId="083B0781"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r w:rsidR="00D624F7">
        <w:rPr>
          <w:rFonts w:ascii="Times New Roman" w:hAnsi="Times New Roman" w:cs="Times New Roman"/>
          <w:szCs w:val="24"/>
        </w:rPr>
        <w:t xml:space="preserve"> – No Report</w:t>
      </w:r>
    </w:p>
    <w:p w14:paraId="20630E3E" w14:textId="77777777" w:rsidR="0073164D"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73164D">
        <w:rPr>
          <w:rFonts w:ascii="Times New Roman" w:hAnsi="Times New Roman" w:cs="Times New Roman"/>
          <w:szCs w:val="24"/>
        </w:rPr>
        <w:t>Sam Morse/</w:t>
      </w:r>
      <w:r w:rsidR="00A11FBE">
        <w:rPr>
          <w:rFonts w:ascii="Times New Roman" w:hAnsi="Times New Roman" w:cs="Times New Roman"/>
          <w:szCs w:val="24"/>
        </w:rPr>
        <w:t>Aaron Lively</w:t>
      </w:r>
    </w:p>
    <w:p w14:paraId="78B9F2E9" w14:textId="77777777" w:rsidR="00D7578D" w:rsidRPr="00D7578D" w:rsidRDefault="00D7578D" w:rsidP="00D7578D">
      <w:pPr>
        <w:pStyle w:val="ListParagraph"/>
        <w:ind w:firstLine="0"/>
        <w:rPr>
          <w:rFonts w:ascii="Times New Roman" w:eastAsia="Times New Roman" w:hAnsi="Times New Roman" w:cs="Times New Roman"/>
        </w:rPr>
      </w:pPr>
      <w:r w:rsidRPr="00D7578D">
        <w:rPr>
          <w:rFonts w:ascii="Times New Roman" w:eastAsia="Times New Roman" w:hAnsi="Times New Roman" w:cs="Times New Roman"/>
        </w:rPr>
        <w:t>The Staff Advisory Council Endowed Scholarship application is now open, until March 13</w:t>
      </w:r>
      <w:r w:rsidRPr="00D7578D">
        <w:rPr>
          <w:rFonts w:ascii="Times New Roman" w:eastAsia="Times New Roman" w:hAnsi="Times New Roman" w:cs="Times New Roman"/>
          <w:vertAlign w:val="superscript"/>
        </w:rPr>
        <w:t>th</w:t>
      </w:r>
      <w:r w:rsidRPr="00D7578D">
        <w:rPr>
          <w:rFonts w:ascii="Times New Roman" w:eastAsia="Times New Roman" w:hAnsi="Times New Roman" w:cs="Times New Roman"/>
        </w:rPr>
        <w:t> at 4:00 PM. This is open to any full-time staff member at OSU-Stillwater that has been continuously employed by OSU for at least one year. They must also be enrolled for college credit in at least one course offered by OSU. Faculty members have often encouraged staff to pursue these scholarships, which supports their continued growth and development!</w:t>
      </w:r>
    </w:p>
    <w:p w14:paraId="10A8C6FD" w14:textId="77777777" w:rsidR="00D7578D" w:rsidRPr="00D7578D" w:rsidRDefault="00D7578D" w:rsidP="00D7578D">
      <w:pPr>
        <w:pStyle w:val="ListParagraph"/>
        <w:ind w:firstLine="0"/>
        <w:rPr>
          <w:rFonts w:ascii="Times New Roman" w:eastAsia="Times New Roman" w:hAnsi="Times New Roman" w:cs="Times New Roman"/>
        </w:rPr>
      </w:pPr>
    </w:p>
    <w:p w14:paraId="6A1B234D" w14:textId="7BAA3974" w:rsidR="00F7736F" w:rsidRPr="00D624F7" w:rsidRDefault="00D7578D" w:rsidP="00D624F7">
      <w:pPr>
        <w:pStyle w:val="ListParagraph"/>
        <w:ind w:firstLine="0"/>
        <w:rPr>
          <w:rFonts w:ascii="Times New Roman" w:eastAsia="Times New Roman" w:hAnsi="Times New Roman" w:cs="Times New Roman"/>
        </w:rPr>
      </w:pPr>
      <w:r w:rsidRPr="00D7578D">
        <w:rPr>
          <w:rFonts w:ascii="Times New Roman" w:eastAsia="Times New Roman" w:hAnsi="Times New Roman" w:cs="Times New Roman"/>
        </w:rPr>
        <w:t xml:space="preserve">Further details and the application can be found here: </w:t>
      </w:r>
      <w:hyperlink r:id="rId11" w:history="1">
        <w:r w:rsidRPr="00D7578D">
          <w:rPr>
            <w:rStyle w:val="Hyperlink"/>
            <w:rFonts w:ascii="Times New Roman" w:eastAsia="Times New Roman" w:hAnsi="Times New Roman" w:cs="Times New Roman"/>
          </w:rPr>
          <w:t>Scholarships | Oklahoma State University</w:t>
        </w:r>
      </w:hyperlink>
      <w:r w:rsidR="003D7790">
        <w:rPr>
          <w:rFonts w:ascii="Times New Roman" w:hAnsi="Times New Roman" w:cs="Times New Roman"/>
          <w:szCs w:val="24"/>
        </w:rPr>
        <w:t xml:space="preserve"> </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7903A494" w14:textId="77777777" w:rsidR="004C0BAA" w:rsidRPr="004C0BAA" w:rsidRDefault="004C0BAA" w:rsidP="004C0BAA">
      <w:pPr>
        <w:pStyle w:val="NormalWeb"/>
        <w:spacing w:after="120"/>
        <w:ind w:left="720"/>
        <w:rPr>
          <w:rFonts w:ascii="Times New Roman" w:hAnsi="Times New Roman" w:cs="Times New Roman"/>
          <w:i/>
          <w:sz w:val="24"/>
          <w:szCs w:val="24"/>
        </w:rPr>
      </w:pPr>
      <w:r w:rsidRPr="004C0BAA">
        <w:rPr>
          <w:rFonts w:ascii="Times New Roman" w:hAnsi="Times New Roman" w:cs="Times New Roman"/>
          <w:i/>
          <w:sz w:val="24"/>
          <w:szCs w:val="24"/>
        </w:rPr>
        <w:t xml:space="preserve">Appeals Process: </w:t>
      </w:r>
      <w:r w:rsidRPr="004C0BAA">
        <w:rPr>
          <w:rFonts w:ascii="Times New Roman" w:hAnsi="Times New Roman" w:cs="Times New Roman"/>
          <w:iCs/>
          <w:sz w:val="24"/>
          <w:szCs w:val="24"/>
        </w:rPr>
        <w:t>Clarifications were provided without changes to the policy, which is available on the Canvas Course - Graduate Faculty Community under the "Policies" module.</w:t>
      </w:r>
    </w:p>
    <w:p w14:paraId="1BCDB947" w14:textId="77777777" w:rsidR="004C0BAA" w:rsidRPr="004C0BAA" w:rsidRDefault="004C0BAA" w:rsidP="004C0BAA">
      <w:pPr>
        <w:pStyle w:val="NormalWeb"/>
        <w:spacing w:after="120"/>
        <w:ind w:left="720"/>
        <w:rPr>
          <w:rFonts w:ascii="Times New Roman" w:hAnsi="Times New Roman" w:cs="Times New Roman"/>
          <w:i/>
          <w:sz w:val="24"/>
          <w:szCs w:val="24"/>
        </w:rPr>
      </w:pPr>
      <w:r w:rsidRPr="004C0BAA">
        <w:rPr>
          <w:rFonts w:ascii="Times New Roman" w:hAnsi="Times New Roman" w:cs="Times New Roman"/>
          <w:i/>
          <w:sz w:val="24"/>
          <w:szCs w:val="24"/>
        </w:rPr>
        <w:t xml:space="preserve">Enrollment: </w:t>
      </w:r>
      <w:r w:rsidRPr="004C0BAA">
        <w:rPr>
          <w:rFonts w:ascii="Times New Roman" w:hAnsi="Times New Roman" w:cs="Times New Roman"/>
          <w:iCs/>
          <w:sz w:val="24"/>
          <w:szCs w:val="24"/>
        </w:rPr>
        <w:t>Spring 2026 graduate enrollment increased by approximately 200 students overall. The College of Health Sciences saw a 23% increase, whereas international student enrollment declined by 11%.</w:t>
      </w:r>
    </w:p>
    <w:p w14:paraId="3E49A7D8" w14:textId="77777777" w:rsidR="004C0BAA" w:rsidRPr="004C0BAA" w:rsidRDefault="004C0BAA" w:rsidP="004C0BAA">
      <w:pPr>
        <w:pStyle w:val="NormalWeb"/>
        <w:spacing w:after="120"/>
        <w:ind w:left="720"/>
        <w:rPr>
          <w:rFonts w:ascii="Times New Roman" w:hAnsi="Times New Roman" w:cs="Times New Roman"/>
          <w:iCs/>
          <w:sz w:val="24"/>
          <w:szCs w:val="24"/>
        </w:rPr>
      </w:pPr>
      <w:r w:rsidRPr="004C0BAA">
        <w:rPr>
          <w:rFonts w:ascii="Times New Roman" w:hAnsi="Times New Roman" w:cs="Times New Roman"/>
          <w:i/>
          <w:sz w:val="24"/>
          <w:szCs w:val="24"/>
        </w:rPr>
        <w:t xml:space="preserve">TOEFL scoring change scores: </w:t>
      </w:r>
      <w:r w:rsidRPr="004C0BAA">
        <w:rPr>
          <w:rFonts w:ascii="Times New Roman" w:hAnsi="Times New Roman" w:cs="Times New Roman"/>
          <w:iCs/>
          <w:sz w:val="24"/>
          <w:szCs w:val="24"/>
        </w:rPr>
        <w:t xml:space="preserve">The internet-based test of English proficiency for international students will transition to a 0–6 scoring scale beginning January 2026. Scores from the current system will remain valid for two additional years from the test </w:t>
      </w:r>
      <w:r w:rsidRPr="004C0BAA">
        <w:rPr>
          <w:rFonts w:ascii="Times New Roman" w:hAnsi="Times New Roman" w:cs="Times New Roman"/>
          <w:iCs/>
          <w:sz w:val="24"/>
          <w:szCs w:val="24"/>
        </w:rPr>
        <w:lastRenderedPageBreak/>
        <w:t>date. Under the new scoring system, the minimum overall score required for admission is 4.0, and the minimum Speaking score required for exemption from the ITA Exam is 5.5.</w:t>
      </w:r>
    </w:p>
    <w:p w14:paraId="2AB8D526" w14:textId="77777777" w:rsidR="004C0BAA" w:rsidRPr="004C0BAA" w:rsidRDefault="004C0BAA" w:rsidP="004C0BAA">
      <w:pPr>
        <w:pStyle w:val="NormalWeb"/>
        <w:spacing w:after="120"/>
        <w:ind w:left="720"/>
        <w:rPr>
          <w:rFonts w:ascii="Times New Roman" w:hAnsi="Times New Roman" w:cs="Times New Roman"/>
          <w:iCs/>
          <w:sz w:val="24"/>
          <w:szCs w:val="24"/>
        </w:rPr>
      </w:pPr>
      <w:r w:rsidRPr="004C0BAA">
        <w:rPr>
          <w:rFonts w:ascii="Times New Roman" w:hAnsi="Times New Roman" w:cs="Times New Roman"/>
          <w:i/>
          <w:sz w:val="24"/>
          <w:szCs w:val="24"/>
        </w:rPr>
        <w:t xml:space="preserve">2026 Phoenix Awards. </w:t>
      </w:r>
      <w:r w:rsidRPr="004C0BAA">
        <w:rPr>
          <w:rFonts w:ascii="Times New Roman" w:hAnsi="Times New Roman" w:cs="Times New Roman"/>
          <w:iCs/>
          <w:sz w:val="24"/>
          <w:szCs w:val="24"/>
        </w:rPr>
        <w:t>These awards recognize the highest levels of excellence in the graduate community, including the Graduate Faculty Mentorship Phoenix Award. Applications will close in late March 2026.</w:t>
      </w:r>
    </w:p>
    <w:p w14:paraId="0FD5D7D1" w14:textId="77777777" w:rsidR="004C0BAA" w:rsidRPr="004C0BAA" w:rsidRDefault="004C0BAA" w:rsidP="004C0BAA">
      <w:pPr>
        <w:pStyle w:val="NormalWeb"/>
        <w:ind w:left="720"/>
        <w:rPr>
          <w:rFonts w:ascii="Times New Roman" w:hAnsi="Times New Roman" w:cs="Times New Roman"/>
          <w:i/>
          <w:iCs/>
          <w:sz w:val="24"/>
          <w:szCs w:val="24"/>
        </w:rPr>
      </w:pPr>
      <w:r w:rsidRPr="004C0BAA">
        <w:rPr>
          <w:rFonts w:ascii="Times New Roman" w:hAnsi="Times New Roman" w:cs="Times New Roman"/>
          <w:i/>
          <w:iCs/>
          <w:sz w:val="24"/>
          <w:szCs w:val="24"/>
        </w:rPr>
        <w:t>The following graduate program modifications were approved through the Academic Program Committee (APC) expedited review process.</w:t>
      </w:r>
    </w:p>
    <w:p w14:paraId="19C52B92" w14:textId="77777777" w:rsidR="004C0BAA" w:rsidRPr="004C0BAA" w:rsidRDefault="004C0BAA" w:rsidP="004C0BAA">
      <w:pPr>
        <w:pStyle w:val="NormalWeb"/>
        <w:rPr>
          <w:rFonts w:ascii="Times New Roman" w:hAnsi="Times New Roman" w:cs="Times New Roman"/>
          <w:iCs/>
          <w:color w:val="000000"/>
          <w:sz w:val="24"/>
          <w:szCs w:val="24"/>
        </w:rPr>
      </w:pPr>
    </w:p>
    <w:p w14:paraId="3C252DD2"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EDS-EDUC-EH-EADM: Education: Educational Administration, EDS </w:t>
      </w:r>
    </w:p>
    <w:p w14:paraId="795BAA73"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GCRT-SPED-EH: Special Education, GCRT </w:t>
      </w:r>
    </w:p>
    <w:p w14:paraId="4CA703D3"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MS-CDIS: Communication Sciences and Disorders, MS </w:t>
      </w:r>
    </w:p>
    <w:p w14:paraId="3E4A8DD8"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MS-CHEM: Chemistry, MS </w:t>
      </w:r>
    </w:p>
    <w:p w14:paraId="4D30694A"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MS-DM-EH-ADTS: Design and Merchandising: Apparel Design and Textile Science, MS </w:t>
      </w:r>
    </w:p>
    <w:p w14:paraId="55442335"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MS-DM-EH-ID: Design and Merchandising: Interior Design, MS </w:t>
      </w:r>
    </w:p>
    <w:p w14:paraId="3207949A"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MS-DM-EH-MERC: Design and Merchandising: Merchandising, MS </w:t>
      </w:r>
    </w:p>
    <w:p w14:paraId="67DCA472"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MS-EPSY-EH-EPSY: Educational Psychology: Educational Psychology, MS </w:t>
      </w:r>
    </w:p>
    <w:p w14:paraId="169D94B7"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MS-FCS-EH: Family and Community Services, MS </w:t>
      </w:r>
    </w:p>
    <w:p w14:paraId="365EE827"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PHD-CHEM: Chemistry, PHD </w:t>
      </w:r>
    </w:p>
    <w:p w14:paraId="71FCF86E"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PHD-CPSY-EH: Counseling Psychology, PHD </w:t>
      </w:r>
    </w:p>
    <w:p w14:paraId="10D3931E"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PHD-EPSY-EH-EPSY: Educational Psychology: Educational Psychology, PHD </w:t>
      </w:r>
    </w:p>
    <w:p w14:paraId="1FBFA2D1"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PHD-SPSY-EH: School Psychology, PHD </w:t>
      </w:r>
    </w:p>
    <w:p w14:paraId="15D5F941"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PHD-SOCIOLOGY </w:t>
      </w:r>
    </w:p>
    <w:p w14:paraId="4CC7F779"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PHD BADM-FIN </w:t>
      </w:r>
    </w:p>
    <w:p w14:paraId="2E6DB406" w14:textId="77777777" w:rsidR="004C0BAA" w:rsidRPr="004C0BAA" w:rsidRDefault="004C0BAA" w:rsidP="004C0BAA">
      <w:pPr>
        <w:pStyle w:val="ListParagraph"/>
        <w:numPr>
          <w:ilvl w:val="1"/>
          <w:numId w:val="10"/>
        </w:numPr>
        <w:spacing w:after="120" w:line="240" w:lineRule="auto"/>
        <w:ind w:left="1080" w:right="0"/>
        <w:contextualSpacing w:val="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PHD BADM-MKTG </w:t>
      </w:r>
    </w:p>
    <w:p w14:paraId="41A02691" w14:textId="77777777" w:rsidR="004C0BAA" w:rsidRPr="004C0BAA" w:rsidRDefault="004C0BAA" w:rsidP="004C0BAA">
      <w:pPr>
        <w:rPr>
          <w:rFonts w:ascii="Times New Roman" w:eastAsia="Times New Roman" w:hAnsi="Times New Roman" w:cs="Times New Roman"/>
          <w:bCs/>
          <w:szCs w:val="24"/>
        </w:rPr>
      </w:pPr>
    </w:p>
    <w:p w14:paraId="37F46118" w14:textId="77777777" w:rsidR="004C0BAA" w:rsidRPr="004C0BAA" w:rsidRDefault="004C0BAA" w:rsidP="004C0BAA">
      <w:pPr>
        <w:pStyle w:val="NormalWeb"/>
        <w:ind w:left="720"/>
        <w:rPr>
          <w:rFonts w:ascii="Times New Roman" w:hAnsi="Times New Roman" w:cs="Times New Roman"/>
          <w:sz w:val="24"/>
          <w:szCs w:val="24"/>
        </w:rPr>
      </w:pPr>
      <w:r w:rsidRPr="004C0BAA">
        <w:rPr>
          <w:rFonts w:ascii="Times New Roman" w:hAnsi="Times New Roman" w:cs="Times New Roman"/>
          <w:sz w:val="24"/>
          <w:szCs w:val="24"/>
        </w:rPr>
        <w:t>The following graduate program deletion or suspension were approved through the APC expedited review process.</w:t>
      </w:r>
    </w:p>
    <w:p w14:paraId="353D9615" w14:textId="77777777" w:rsidR="004C0BAA" w:rsidRPr="004C0BAA" w:rsidRDefault="004C0BAA" w:rsidP="004C0BAA">
      <w:pPr>
        <w:pStyle w:val="NormalWeb"/>
        <w:rPr>
          <w:rFonts w:ascii="Times New Roman" w:hAnsi="Times New Roman" w:cs="Times New Roman"/>
          <w:sz w:val="24"/>
          <w:szCs w:val="24"/>
        </w:rPr>
      </w:pPr>
    </w:p>
    <w:p w14:paraId="16B37E98" w14:textId="77777777" w:rsidR="004C0BAA" w:rsidRPr="004C0BAA" w:rsidRDefault="004C0BAA" w:rsidP="004C0BAA">
      <w:pPr>
        <w:pStyle w:val="ListParagraph"/>
        <w:numPr>
          <w:ilvl w:val="0"/>
          <w:numId w:val="11"/>
        </w:numPr>
        <w:spacing w:after="0" w:line="240" w:lineRule="auto"/>
        <w:ind w:left="1080" w:right="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GCRT-FMEG: Fashion Merchandising, GCRT </w:t>
      </w:r>
    </w:p>
    <w:p w14:paraId="7190E052" w14:textId="581D33BD" w:rsidR="00C22DE4" w:rsidRDefault="004C0BAA" w:rsidP="005C4186">
      <w:pPr>
        <w:pStyle w:val="ListParagraph"/>
        <w:numPr>
          <w:ilvl w:val="0"/>
          <w:numId w:val="11"/>
        </w:numPr>
        <w:spacing w:after="0" w:line="240" w:lineRule="auto"/>
        <w:ind w:left="1080" w:right="0"/>
        <w:jc w:val="left"/>
        <w:rPr>
          <w:rFonts w:ascii="Times New Roman" w:eastAsia="Times New Roman" w:hAnsi="Times New Roman" w:cs="Times New Roman"/>
          <w:bCs/>
          <w:szCs w:val="24"/>
        </w:rPr>
      </w:pPr>
      <w:r w:rsidRPr="004C0BAA">
        <w:rPr>
          <w:rFonts w:ascii="Times New Roman" w:eastAsia="Times New Roman" w:hAnsi="Times New Roman" w:cs="Times New Roman"/>
          <w:bCs/>
          <w:szCs w:val="24"/>
        </w:rPr>
        <w:t xml:space="preserve">MA-TH: Theatre, MA </w:t>
      </w:r>
    </w:p>
    <w:p w14:paraId="61507A3D" w14:textId="77777777" w:rsidR="005C4186" w:rsidRPr="005C4186" w:rsidRDefault="005C4186" w:rsidP="005C4186">
      <w:pPr>
        <w:pStyle w:val="ListParagraph"/>
        <w:spacing w:after="0" w:line="240" w:lineRule="auto"/>
        <w:ind w:left="1080" w:right="0" w:firstLine="0"/>
        <w:jc w:val="left"/>
        <w:rPr>
          <w:rFonts w:ascii="Times New Roman" w:eastAsia="Times New Roman" w:hAnsi="Times New Roman" w:cs="Times New Roman"/>
          <w:bCs/>
          <w:szCs w:val="24"/>
        </w:rPr>
      </w:pPr>
    </w:p>
    <w:p w14:paraId="31BFBC7A" w14:textId="5449907F" w:rsidR="00D020BA" w:rsidRPr="000F072B"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4E292781" w14:textId="77777777" w:rsidR="005C4186" w:rsidRPr="005C4186" w:rsidRDefault="005C4186" w:rsidP="005C4186">
      <w:pPr>
        <w:spacing w:line="257" w:lineRule="auto"/>
        <w:ind w:firstLine="350"/>
        <w:rPr>
          <w:rFonts w:ascii="Times New Roman" w:eastAsia="Times New Roman" w:hAnsi="Times New Roman" w:cs="Times New Roman"/>
          <w:szCs w:val="24"/>
        </w:rPr>
      </w:pPr>
      <w:r w:rsidRPr="005C4186">
        <w:rPr>
          <w:rFonts w:ascii="Times New Roman" w:eastAsia="Times New Roman" w:hAnsi="Times New Roman" w:cs="Times New Roman"/>
          <w:b/>
          <w:bCs/>
          <w:szCs w:val="24"/>
        </w:rPr>
        <w:t>GPSGA Membership Forms</w:t>
      </w:r>
      <w:r w:rsidRPr="005C4186">
        <w:rPr>
          <w:rFonts w:ascii="Times New Roman" w:eastAsia="Times New Roman" w:hAnsi="Times New Roman" w:cs="Times New Roman"/>
          <w:szCs w:val="24"/>
        </w:rPr>
        <w:t>:</w:t>
      </w:r>
    </w:p>
    <w:p w14:paraId="1BDD5AD4" w14:textId="77777777" w:rsidR="005C4186" w:rsidRPr="005C4186" w:rsidRDefault="005C4186" w:rsidP="005C4186">
      <w:pPr>
        <w:pStyle w:val="ListParagraph"/>
        <w:numPr>
          <w:ilvl w:val="0"/>
          <w:numId w:val="12"/>
        </w:numPr>
        <w:spacing w:after="160" w:line="257" w:lineRule="auto"/>
        <w:ind w:right="0"/>
        <w:rPr>
          <w:rFonts w:ascii="Times New Roman" w:eastAsia="Times New Roman" w:hAnsi="Times New Roman" w:cs="Times New Roman"/>
          <w:szCs w:val="24"/>
        </w:rPr>
      </w:pPr>
      <w:r w:rsidRPr="005C4186">
        <w:rPr>
          <w:rFonts w:ascii="Times New Roman" w:eastAsia="Times New Roman" w:hAnsi="Times New Roman" w:cs="Times New Roman"/>
          <w:szCs w:val="24"/>
        </w:rPr>
        <w:t xml:space="preserve">If you are a </w:t>
      </w:r>
      <w:r w:rsidRPr="005C4186">
        <w:rPr>
          <w:rFonts w:ascii="Times New Roman" w:eastAsia="Times New Roman" w:hAnsi="Times New Roman" w:cs="Times New Roman"/>
          <w:b/>
          <w:bCs/>
          <w:szCs w:val="24"/>
          <w:u w:val="single"/>
        </w:rPr>
        <w:t>new</w:t>
      </w:r>
      <w:r w:rsidRPr="005C4186">
        <w:rPr>
          <w:rFonts w:ascii="Times New Roman" w:eastAsia="Times New Roman" w:hAnsi="Times New Roman" w:cs="Times New Roman"/>
          <w:szCs w:val="24"/>
        </w:rPr>
        <w:t xml:space="preserve"> GPSGA representative or liaison starting this semester, please submit the GPSGA Membership Form. Forms and instructions are available on the GPSGA </w:t>
      </w:r>
      <w:r w:rsidRPr="005C4186">
        <w:rPr>
          <w:rFonts w:ascii="Times New Roman" w:eastAsia="Times New Roman" w:hAnsi="Times New Roman" w:cs="Times New Roman"/>
          <w:szCs w:val="24"/>
        </w:rPr>
        <w:lastRenderedPageBreak/>
        <w:t xml:space="preserve">Student Community Canvas page, under the “GPSGA Membership &amp; Proxy Forms” module. Deadline </w:t>
      </w:r>
      <w:proofErr w:type="gramStart"/>
      <w:r w:rsidRPr="005C4186">
        <w:rPr>
          <w:rFonts w:ascii="Times New Roman" w:eastAsia="Times New Roman" w:hAnsi="Times New Roman" w:cs="Times New Roman"/>
          <w:szCs w:val="24"/>
        </w:rPr>
        <w:t>to submit</w:t>
      </w:r>
      <w:proofErr w:type="gramEnd"/>
      <w:r w:rsidRPr="005C4186">
        <w:rPr>
          <w:rFonts w:ascii="Times New Roman" w:eastAsia="Times New Roman" w:hAnsi="Times New Roman" w:cs="Times New Roman"/>
          <w:szCs w:val="24"/>
        </w:rPr>
        <w:t xml:space="preserve"> the form is </w:t>
      </w:r>
      <w:r w:rsidRPr="005C4186">
        <w:rPr>
          <w:rFonts w:ascii="Times New Roman" w:eastAsia="Times New Roman" w:hAnsi="Times New Roman" w:cs="Times New Roman"/>
          <w:b/>
          <w:bCs/>
          <w:szCs w:val="24"/>
        </w:rPr>
        <w:t>Friday, February 13, 2026, at 5:00 PM</w:t>
      </w:r>
    </w:p>
    <w:p w14:paraId="15F23E20" w14:textId="77777777" w:rsidR="005C4186" w:rsidRPr="005C4186" w:rsidRDefault="005C4186" w:rsidP="005C4186">
      <w:pPr>
        <w:spacing w:line="257" w:lineRule="auto"/>
        <w:ind w:firstLine="350"/>
        <w:rPr>
          <w:rFonts w:ascii="Times New Roman" w:eastAsia="Times New Roman" w:hAnsi="Times New Roman" w:cs="Times New Roman"/>
          <w:b/>
          <w:bCs/>
          <w:szCs w:val="24"/>
        </w:rPr>
      </w:pPr>
      <w:r w:rsidRPr="005C4186">
        <w:rPr>
          <w:rFonts w:ascii="Times New Roman" w:eastAsia="Times New Roman" w:hAnsi="Times New Roman" w:cs="Times New Roman"/>
          <w:b/>
          <w:bCs/>
          <w:szCs w:val="24"/>
        </w:rPr>
        <w:t>GPSGA General Assembly Meetings Reminder – Spring 2026</w:t>
      </w:r>
    </w:p>
    <w:p w14:paraId="09461391" w14:textId="77777777" w:rsidR="005C4186" w:rsidRPr="005C4186" w:rsidRDefault="005C4186" w:rsidP="005C4186">
      <w:pPr>
        <w:pStyle w:val="ListParagraph"/>
        <w:numPr>
          <w:ilvl w:val="0"/>
          <w:numId w:val="12"/>
        </w:numPr>
        <w:spacing w:after="160" w:line="257" w:lineRule="auto"/>
        <w:ind w:right="0"/>
        <w:rPr>
          <w:rFonts w:ascii="Times New Roman" w:eastAsia="Times New Roman" w:hAnsi="Times New Roman" w:cs="Times New Roman"/>
          <w:szCs w:val="24"/>
        </w:rPr>
      </w:pPr>
      <w:r w:rsidRPr="005C4186">
        <w:rPr>
          <w:rFonts w:ascii="Times New Roman" w:eastAsia="Times New Roman" w:hAnsi="Times New Roman" w:cs="Times New Roman"/>
          <w:szCs w:val="24"/>
        </w:rPr>
        <w:t>Sixth General Assembly Meeting</w:t>
      </w:r>
    </w:p>
    <w:p w14:paraId="60694F28" w14:textId="77777777" w:rsidR="005C4186" w:rsidRPr="005C4186" w:rsidRDefault="005C4186" w:rsidP="005C4186">
      <w:pPr>
        <w:pStyle w:val="ListParagraph"/>
        <w:numPr>
          <w:ilvl w:val="1"/>
          <w:numId w:val="12"/>
        </w:numPr>
        <w:spacing w:after="160" w:line="257" w:lineRule="auto"/>
        <w:ind w:right="0"/>
        <w:rPr>
          <w:rFonts w:ascii="Times New Roman" w:eastAsia="Times New Roman" w:hAnsi="Times New Roman" w:cs="Times New Roman"/>
          <w:szCs w:val="24"/>
        </w:rPr>
      </w:pPr>
      <w:r w:rsidRPr="005C4186">
        <w:rPr>
          <w:rFonts w:ascii="Times New Roman" w:eastAsia="Times New Roman" w:hAnsi="Times New Roman" w:cs="Times New Roman"/>
          <w:szCs w:val="24"/>
        </w:rPr>
        <w:t>Wednesday, February 25th, 5:30pm, ANSI-123</w:t>
      </w:r>
    </w:p>
    <w:p w14:paraId="430E9530" w14:textId="77777777" w:rsidR="005C4186" w:rsidRPr="005C4186" w:rsidRDefault="005C4186" w:rsidP="005C4186">
      <w:pPr>
        <w:pStyle w:val="NormalWeb"/>
        <w:ind w:firstLine="720"/>
        <w:rPr>
          <w:rFonts w:ascii="Times New Roman" w:hAnsi="Times New Roman" w:cs="Times New Roman"/>
          <w:b/>
          <w:bCs/>
          <w:color w:val="000000"/>
          <w:sz w:val="24"/>
          <w:szCs w:val="24"/>
        </w:rPr>
      </w:pPr>
      <w:r w:rsidRPr="005C4186">
        <w:rPr>
          <w:rFonts w:ascii="Times New Roman" w:hAnsi="Times New Roman" w:cs="Times New Roman"/>
          <w:b/>
          <w:bCs/>
          <w:color w:val="000000"/>
          <w:sz w:val="24"/>
          <w:szCs w:val="24"/>
        </w:rPr>
        <w:t xml:space="preserve">GPSGA Phoenix Awards </w:t>
      </w:r>
    </w:p>
    <w:p w14:paraId="217E1C3E" w14:textId="77777777" w:rsidR="005C4186" w:rsidRPr="005C4186" w:rsidRDefault="005C4186" w:rsidP="005C4186">
      <w:pPr>
        <w:pStyle w:val="NormalWeb"/>
        <w:ind w:left="720"/>
        <w:rPr>
          <w:rFonts w:ascii="Times New Roman" w:hAnsi="Times New Roman" w:cs="Times New Roman"/>
          <w:b/>
          <w:bCs/>
          <w:color w:val="000000"/>
          <w:sz w:val="24"/>
          <w:szCs w:val="24"/>
        </w:rPr>
      </w:pPr>
      <w:r w:rsidRPr="005C4186">
        <w:rPr>
          <w:rFonts w:ascii="Times New Roman" w:hAnsi="Times New Roman" w:cs="Times New Roman"/>
          <w:color w:val="000000"/>
          <w:sz w:val="24"/>
          <w:szCs w:val="24"/>
        </w:rPr>
        <w:t xml:space="preserve">Information regarding the </w:t>
      </w:r>
      <w:hyperlink r:id="rId12" w:history="1">
        <w:r w:rsidRPr="005C4186">
          <w:rPr>
            <w:rStyle w:val="Hyperlink"/>
            <w:rFonts w:ascii="Times New Roman" w:hAnsi="Times New Roman" w:cs="Times New Roman"/>
            <w:b/>
            <w:bCs/>
            <w:sz w:val="24"/>
            <w:szCs w:val="24"/>
          </w:rPr>
          <w:t>GPSGA Phoenix Awards</w:t>
        </w:r>
      </w:hyperlink>
      <w:r w:rsidRPr="005C4186">
        <w:rPr>
          <w:rFonts w:ascii="Times New Roman" w:hAnsi="Times New Roman" w:cs="Times New Roman"/>
          <w:color w:val="000000"/>
          <w:sz w:val="24"/>
          <w:szCs w:val="24"/>
        </w:rPr>
        <w:t xml:space="preserve"> is available on the GPSGA Canvas page! The four award categories include the </w:t>
      </w:r>
      <w:proofErr w:type="gramStart"/>
      <w:r w:rsidRPr="005C4186">
        <w:rPr>
          <w:rFonts w:ascii="Times New Roman" w:hAnsi="Times New Roman" w:cs="Times New Roman"/>
          <w:b/>
          <w:bCs/>
          <w:color w:val="000000"/>
          <w:sz w:val="24"/>
          <w:szCs w:val="24"/>
        </w:rPr>
        <w:t>Master’s</w:t>
      </w:r>
      <w:proofErr w:type="gramEnd"/>
      <w:r w:rsidRPr="005C4186">
        <w:rPr>
          <w:rFonts w:ascii="Times New Roman" w:hAnsi="Times New Roman" w:cs="Times New Roman"/>
          <w:b/>
          <w:bCs/>
          <w:color w:val="000000"/>
          <w:sz w:val="24"/>
          <w:szCs w:val="24"/>
        </w:rPr>
        <w:t xml:space="preserve"> Student, Doctoral Student, Graduate Teaching Assistant (GTA), and Graduate Faculty Mentorship Awards</w:t>
      </w:r>
      <w:r w:rsidRPr="005C4186">
        <w:rPr>
          <w:rFonts w:ascii="Times New Roman" w:hAnsi="Times New Roman" w:cs="Times New Roman"/>
          <w:color w:val="000000"/>
          <w:sz w:val="24"/>
          <w:szCs w:val="24"/>
        </w:rPr>
        <w:t>. Applications/Nominations will be open from December 2025 through March 2026.</w:t>
      </w:r>
    </w:p>
    <w:p w14:paraId="7E0E4D23" w14:textId="77777777" w:rsidR="005C4186" w:rsidRPr="005C4186" w:rsidRDefault="005C4186" w:rsidP="005C4186">
      <w:pPr>
        <w:spacing w:line="257" w:lineRule="auto"/>
        <w:ind w:firstLine="350"/>
        <w:rPr>
          <w:rFonts w:ascii="Times New Roman" w:eastAsia="Times New Roman" w:hAnsi="Times New Roman" w:cs="Times New Roman"/>
          <w:b/>
          <w:bCs/>
          <w:szCs w:val="24"/>
        </w:rPr>
      </w:pPr>
      <w:r w:rsidRPr="005C4186">
        <w:rPr>
          <w:rFonts w:ascii="Times New Roman" w:eastAsia="Times New Roman" w:hAnsi="Times New Roman" w:cs="Times New Roman"/>
          <w:b/>
          <w:bCs/>
          <w:szCs w:val="24"/>
        </w:rPr>
        <w:t xml:space="preserve">GPSGA Assistance/Grant/Fund Information </w:t>
      </w:r>
    </w:p>
    <w:p w14:paraId="05B23706" w14:textId="77777777" w:rsidR="005C4186" w:rsidRPr="005C4186" w:rsidRDefault="005C4186" w:rsidP="005C4186">
      <w:pPr>
        <w:spacing w:line="257" w:lineRule="auto"/>
        <w:ind w:firstLine="350"/>
        <w:rPr>
          <w:rFonts w:ascii="Times New Roman" w:eastAsia="Times New Roman" w:hAnsi="Times New Roman" w:cs="Times New Roman"/>
          <w:b/>
          <w:bCs/>
          <w:szCs w:val="24"/>
        </w:rPr>
      </w:pPr>
      <w:r w:rsidRPr="005C4186">
        <w:rPr>
          <w:rFonts w:ascii="Times New Roman" w:eastAsia="Times New Roman" w:hAnsi="Times New Roman" w:cs="Times New Roman"/>
          <w:b/>
          <w:bCs/>
          <w:szCs w:val="24"/>
        </w:rPr>
        <w:t>-Co-Sponsorship Fund Application Spring 2026</w:t>
      </w:r>
    </w:p>
    <w:p w14:paraId="20F585AC" w14:textId="77777777" w:rsidR="005C4186" w:rsidRPr="005C4186" w:rsidRDefault="005C4186" w:rsidP="005C4186">
      <w:pPr>
        <w:pStyle w:val="ListParagraph"/>
        <w:numPr>
          <w:ilvl w:val="0"/>
          <w:numId w:val="12"/>
        </w:numPr>
        <w:spacing w:after="160" w:line="257" w:lineRule="auto"/>
        <w:ind w:right="0"/>
        <w:rPr>
          <w:rFonts w:ascii="Times New Roman" w:eastAsia="Times New Roman" w:hAnsi="Times New Roman" w:cs="Times New Roman"/>
          <w:szCs w:val="24"/>
        </w:rPr>
      </w:pPr>
      <w:r w:rsidRPr="005C4186">
        <w:rPr>
          <w:rFonts w:ascii="Times New Roman" w:eastAsia="Times New Roman" w:hAnsi="Times New Roman" w:cs="Times New Roman"/>
          <w:szCs w:val="24"/>
        </w:rPr>
        <w:t>GPSGA offers eligible graduate and professional student organizations under GPSGA umbrella the opportunity to qualify for multiple Co-Sponsorship Funds each semester to promote campus activity and involvement of graduate and professional students.</w:t>
      </w:r>
    </w:p>
    <w:p w14:paraId="0615DC92" w14:textId="77777777" w:rsidR="005C4186" w:rsidRPr="005C4186" w:rsidRDefault="005C4186" w:rsidP="005C4186">
      <w:pPr>
        <w:pStyle w:val="ListParagraph"/>
        <w:numPr>
          <w:ilvl w:val="0"/>
          <w:numId w:val="12"/>
        </w:numPr>
        <w:spacing w:after="160" w:line="257" w:lineRule="auto"/>
        <w:ind w:right="0"/>
        <w:rPr>
          <w:rFonts w:ascii="Times New Roman" w:eastAsia="Times New Roman" w:hAnsi="Times New Roman" w:cs="Times New Roman"/>
          <w:szCs w:val="24"/>
        </w:rPr>
      </w:pPr>
      <w:r w:rsidRPr="005C4186">
        <w:rPr>
          <w:rFonts w:ascii="Times New Roman" w:eastAsia="Times New Roman" w:hAnsi="Times New Roman" w:cs="Times New Roman"/>
          <w:szCs w:val="24"/>
        </w:rPr>
        <w:t xml:space="preserve">Application closes on </w:t>
      </w:r>
      <w:r w:rsidRPr="005C4186">
        <w:rPr>
          <w:rFonts w:ascii="Times New Roman" w:eastAsia="Times New Roman" w:hAnsi="Times New Roman" w:cs="Times New Roman"/>
          <w:b/>
          <w:bCs/>
          <w:szCs w:val="24"/>
        </w:rPr>
        <w:t xml:space="preserve">Monday, Feb. 16, 2026, at 11:59 PM. </w:t>
      </w:r>
    </w:p>
    <w:p w14:paraId="727C68D5" w14:textId="67A99706" w:rsidR="004C0BAA" w:rsidRDefault="005C4186" w:rsidP="005C4186">
      <w:pPr>
        <w:pStyle w:val="ListParagraph"/>
        <w:numPr>
          <w:ilvl w:val="0"/>
          <w:numId w:val="12"/>
        </w:numPr>
        <w:spacing w:after="160" w:line="257" w:lineRule="auto"/>
        <w:ind w:right="0"/>
        <w:rPr>
          <w:rFonts w:ascii="Times New Roman" w:eastAsia="Times New Roman" w:hAnsi="Times New Roman" w:cs="Times New Roman"/>
          <w:szCs w:val="24"/>
        </w:rPr>
      </w:pPr>
      <w:r w:rsidRPr="005C4186">
        <w:rPr>
          <w:rFonts w:ascii="Times New Roman" w:eastAsia="Times New Roman" w:hAnsi="Times New Roman" w:cs="Times New Roman"/>
          <w:szCs w:val="24"/>
        </w:rPr>
        <w:t xml:space="preserve">For more information, check </w:t>
      </w:r>
      <w:hyperlink r:id="rId13" w:history="1">
        <w:r w:rsidRPr="005C4186">
          <w:rPr>
            <w:rStyle w:val="Hyperlink"/>
            <w:rFonts w:ascii="Times New Roman" w:eastAsia="Times New Roman" w:hAnsi="Times New Roman" w:cs="Times New Roman"/>
            <w:b/>
            <w:bCs/>
            <w:szCs w:val="24"/>
          </w:rPr>
          <w:t>GPSGA Canvas Page</w:t>
        </w:r>
      </w:hyperlink>
      <w:r w:rsidRPr="005C4186">
        <w:rPr>
          <w:rFonts w:ascii="Times New Roman" w:eastAsia="Times New Roman" w:hAnsi="Times New Roman" w:cs="Times New Roman"/>
          <w:b/>
          <w:bCs/>
          <w:szCs w:val="24"/>
        </w:rPr>
        <w:t>.</w:t>
      </w:r>
      <w:r w:rsidRPr="005C4186">
        <w:rPr>
          <w:rFonts w:ascii="Times New Roman" w:eastAsia="Times New Roman" w:hAnsi="Times New Roman" w:cs="Times New Roman"/>
          <w:szCs w:val="24"/>
        </w:rPr>
        <w:t xml:space="preserve"> </w:t>
      </w:r>
    </w:p>
    <w:p w14:paraId="3C6DF222" w14:textId="77777777" w:rsidR="005C4186" w:rsidRPr="005C4186" w:rsidRDefault="005C4186" w:rsidP="005C4186">
      <w:pPr>
        <w:pStyle w:val="ListParagraph"/>
        <w:spacing w:after="160" w:line="257" w:lineRule="auto"/>
        <w:ind w:left="1080" w:right="0" w:firstLine="0"/>
        <w:rPr>
          <w:rFonts w:ascii="Times New Roman" w:eastAsia="Times New Roman" w:hAnsi="Times New Roman" w:cs="Times New Roman"/>
          <w:szCs w:val="24"/>
        </w:rPr>
      </w:pPr>
    </w:p>
    <w:p w14:paraId="30D4FD8C" w14:textId="10EF76B2" w:rsidR="00F964EE" w:rsidRDefault="00EF586B" w:rsidP="00EF586B">
      <w:pPr>
        <w:pStyle w:val="ListParagraph"/>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College of Arts and Sciences Faculty Council – </w:t>
      </w:r>
      <w:r w:rsidR="00EC1278">
        <w:rPr>
          <w:rFonts w:ascii="Times New Roman" w:hAnsi="Times New Roman" w:cs="Times New Roman"/>
          <w:szCs w:val="24"/>
        </w:rPr>
        <w:t>N</w:t>
      </w:r>
      <w:r w:rsidR="00994E97">
        <w:rPr>
          <w:rFonts w:ascii="Times New Roman" w:hAnsi="Times New Roman" w:cs="Times New Roman"/>
          <w:szCs w:val="24"/>
        </w:rPr>
        <w:t>atascha Riedinger</w:t>
      </w:r>
      <w:r w:rsidR="004C0BAA">
        <w:rPr>
          <w:rFonts w:ascii="Times New Roman" w:hAnsi="Times New Roman" w:cs="Times New Roman"/>
          <w:szCs w:val="24"/>
        </w:rPr>
        <w:t xml:space="preserve"> – No Report</w:t>
      </w:r>
    </w:p>
    <w:p w14:paraId="6554FD2E" w14:textId="77777777" w:rsidR="00583B58" w:rsidRPr="00EF586B" w:rsidRDefault="00583B58" w:rsidP="00583B58">
      <w:pPr>
        <w:pStyle w:val="ListParagraph"/>
        <w:spacing w:after="120" w:line="240" w:lineRule="auto"/>
        <w:ind w:left="1080" w:right="9" w:firstLine="0"/>
        <w:rPr>
          <w:rFonts w:ascii="Times New Roman" w:hAnsi="Times New Roman" w:cs="Times New Roman"/>
          <w:szCs w:val="24"/>
        </w:rPr>
      </w:pPr>
    </w:p>
    <w:p w14:paraId="605000ED" w14:textId="4DD3B98A"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r w:rsidR="00E725A4">
        <w:rPr>
          <w:rFonts w:ascii="Times New Roman" w:hAnsi="Times New Roman" w:cs="Times New Roman"/>
          <w:szCs w:val="24"/>
        </w:rPr>
        <w:t xml:space="preserve">– </w:t>
      </w:r>
    </w:p>
    <w:p w14:paraId="78405DA2" w14:textId="346AADAC"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8D2ECF">
        <w:rPr>
          <w:rFonts w:ascii="Times New Roman" w:hAnsi="Times New Roman" w:cs="Times New Roman"/>
          <w:szCs w:val="24"/>
        </w:rPr>
        <w:t>John Michael Riley</w:t>
      </w:r>
      <w:r w:rsidR="00241E36">
        <w:rPr>
          <w:rFonts w:ascii="Times New Roman" w:hAnsi="Times New Roman" w:cs="Times New Roman"/>
          <w:szCs w:val="24"/>
        </w:rPr>
        <w:t xml:space="preserve"> – </w:t>
      </w:r>
    </w:p>
    <w:p w14:paraId="477A3CFC" w14:textId="79DDE80C"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D16B27">
        <w:rPr>
          <w:rFonts w:ascii="Times New Roman" w:hAnsi="Times New Roman" w:cs="Times New Roman"/>
          <w:color w:val="auto"/>
          <w:szCs w:val="24"/>
        </w:rPr>
        <w:t>Aimee Parkison</w:t>
      </w:r>
      <w:r>
        <w:rPr>
          <w:rFonts w:ascii="Times New Roman" w:hAnsi="Times New Roman" w:cs="Times New Roman"/>
          <w:color w:val="auto"/>
          <w:szCs w:val="24"/>
        </w:rPr>
        <w:t xml:space="preserve"> – </w:t>
      </w:r>
    </w:p>
    <w:p w14:paraId="58551260" w14:textId="7D07BCF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D16B27">
        <w:rPr>
          <w:rFonts w:ascii="Times New Roman" w:hAnsi="Times New Roman" w:cs="Times New Roman"/>
          <w:szCs w:val="24"/>
        </w:rPr>
        <w:t>Jill Joyce</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362E453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D16B27">
        <w:rPr>
          <w:rFonts w:ascii="Times New Roman" w:hAnsi="Times New Roman" w:cs="Times New Roman"/>
          <w:szCs w:val="24"/>
        </w:rPr>
        <w:t>Merle Eisenberg</w:t>
      </w:r>
      <w:r w:rsidR="00A62E2C">
        <w:rPr>
          <w:rFonts w:ascii="Times New Roman" w:hAnsi="Times New Roman" w:cs="Times New Roman"/>
          <w:szCs w:val="24"/>
        </w:rPr>
        <w:t xml:space="preserve"> – </w:t>
      </w:r>
    </w:p>
    <w:p w14:paraId="18771038" w14:textId="6253885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09599F">
        <w:rPr>
          <w:rFonts w:ascii="Times New Roman" w:hAnsi="Times New Roman" w:cs="Times New Roman"/>
          <w:color w:val="auto"/>
          <w:szCs w:val="24"/>
        </w:rPr>
        <w:t>Jentre Olsen</w:t>
      </w:r>
      <w:r w:rsidR="00A62E2C">
        <w:rPr>
          <w:rFonts w:ascii="Times New Roman" w:hAnsi="Times New Roman" w:cs="Times New Roman"/>
          <w:color w:val="auto"/>
          <w:szCs w:val="24"/>
        </w:rPr>
        <w:t xml:space="preserve"> – </w:t>
      </w:r>
    </w:p>
    <w:p w14:paraId="51DEBDD5" w14:textId="03E456B3"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Career Track: Jennifer Glenn – </w:t>
      </w:r>
    </w:p>
    <w:p w14:paraId="240EC0F9" w14:textId="4AAA763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w:t>
      </w:r>
      <w:r w:rsidR="00BA15EB">
        <w:rPr>
          <w:rFonts w:ascii="Times New Roman" w:hAnsi="Times New Roman" w:cs="Times New Roman"/>
          <w:szCs w:val="24"/>
        </w:rPr>
        <w:t>oe Haley</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1052BCC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w:t>
      </w:r>
      <w:r w:rsidR="0009599F">
        <w:rPr>
          <w:rFonts w:ascii="Times New Roman" w:hAnsi="Times New Roman" w:cs="Times New Roman"/>
          <w:szCs w:val="24"/>
        </w:rPr>
        <w:t xml:space="preserve"> Jared Fitzgerald</w:t>
      </w:r>
      <w:r w:rsidR="00074801">
        <w:rPr>
          <w:rFonts w:ascii="Times New Roman" w:hAnsi="Times New Roman" w:cs="Times New Roman"/>
          <w:szCs w:val="24"/>
        </w:rPr>
        <w:t xml:space="preserve"> – </w:t>
      </w:r>
    </w:p>
    <w:p w14:paraId="2AEE417B" w14:textId="622E6B96"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8F05D3">
        <w:rPr>
          <w:rFonts w:ascii="Times New Roman" w:hAnsi="Times New Roman" w:cs="Times New Roman"/>
          <w:szCs w:val="24"/>
        </w:rPr>
        <w:t>Recommendation</w:t>
      </w:r>
    </w:p>
    <w:p w14:paraId="5A93715D" w14:textId="559F7A94" w:rsidR="008F05D3" w:rsidRPr="00F7736F" w:rsidRDefault="008F05D3" w:rsidP="008F05D3">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Degree Pursuit for Tenured Faculty*</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4998CBB9" w:rsidR="004974D0"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Student Affairs and Learning Resources: </w:t>
      </w:r>
      <w:r w:rsidR="0027318D">
        <w:rPr>
          <w:rFonts w:ascii="Times New Roman" w:hAnsi="Times New Roman" w:cs="Times New Roman"/>
          <w:szCs w:val="24"/>
        </w:rPr>
        <w:t>William McGlynn</w:t>
      </w:r>
      <w:r w:rsidR="00541EF2">
        <w:rPr>
          <w:rFonts w:ascii="Times New Roman" w:hAnsi="Times New Roman" w:cs="Times New Roman"/>
          <w:szCs w:val="24"/>
        </w:rPr>
        <w:t xml:space="preserve"> </w:t>
      </w:r>
      <w:r w:rsidR="002330E0">
        <w:rPr>
          <w:rFonts w:ascii="Times New Roman" w:hAnsi="Times New Roman" w:cs="Times New Roman"/>
          <w:szCs w:val="24"/>
        </w:rPr>
        <w:t>–</w:t>
      </w:r>
    </w:p>
    <w:p w14:paraId="6C7A4F02" w14:textId="2B0AE8E4" w:rsidR="001A0B9A" w:rsidRDefault="001A0B9A" w:rsidP="00583B58">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Special Committee on Faculty Governance: Mark Weiser – </w:t>
      </w:r>
    </w:p>
    <w:p w14:paraId="75750ACF" w14:textId="77777777" w:rsidR="00583B58" w:rsidRPr="00583B58" w:rsidRDefault="00583B58" w:rsidP="00583B58">
      <w:pPr>
        <w:spacing w:after="120" w:line="240" w:lineRule="auto"/>
        <w:ind w:left="108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lastRenderedPageBreak/>
        <w:t xml:space="preserve">Unfinished business </w:t>
      </w:r>
    </w:p>
    <w:p w14:paraId="6F424D54"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7D30A873" w14:textId="77777777" w:rsidR="0064347E" w:rsidRPr="00F7736F" w:rsidRDefault="0064347E" w:rsidP="0064347E">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New business</w:t>
      </w:r>
      <w:r>
        <w:rPr>
          <w:rFonts w:ascii="Times New Roman" w:hAnsi="Times New Roman" w:cs="Times New Roman"/>
          <w:szCs w:val="24"/>
        </w:rPr>
        <w:t xml:space="preserve"> – Nomination of 2 Vice Chair and 2 Secretary candidates. </w:t>
      </w:r>
    </w:p>
    <w:p w14:paraId="6443195B" w14:textId="77777777" w:rsidR="0064347E" w:rsidRPr="00F7736F" w:rsidRDefault="0064347E" w:rsidP="0064347E">
      <w:pPr>
        <w:spacing w:after="120" w:line="240" w:lineRule="auto"/>
        <w:ind w:left="360" w:right="9" w:firstLine="0"/>
        <w:rPr>
          <w:rFonts w:ascii="Times New Roman" w:hAnsi="Times New Roman" w:cs="Times New Roman"/>
          <w:szCs w:val="24"/>
        </w:rPr>
      </w:pPr>
    </w:p>
    <w:p w14:paraId="5D9D7A70" w14:textId="77777777" w:rsidR="00EC71C7" w:rsidRDefault="00EC71C7" w:rsidP="00F7736F">
      <w:pPr>
        <w:ind w:left="0"/>
        <w:rPr>
          <w:rFonts w:ascii="Times New Roman" w:hAnsi="Times New Roman" w:cs="Times New Roman"/>
          <w:szCs w:val="24"/>
        </w:rPr>
      </w:pPr>
    </w:p>
    <w:p w14:paraId="118FDADE" w14:textId="41333959" w:rsidR="0009599F" w:rsidRDefault="008F05D3" w:rsidP="00F7736F">
      <w:pPr>
        <w:ind w:left="0"/>
        <w:rPr>
          <w:rFonts w:ascii="Times New Roman" w:hAnsi="Times New Roman" w:cs="Times New Roman"/>
          <w:b/>
          <w:bCs/>
          <w:i/>
          <w:iCs/>
          <w:szCs w:val="24"/>
        </w:rPr>
      </w:pPr>
      <w:r w:rsidRPr="008F05D3">
        <w:rPr>
          <w:rFonts w:ascii="Times New Roman" w:hAnsi="Times New Roman" w:cs="Times New Roman"/>
          <w:b/>
          <w:bCs/>
          <w:i/>
          <w:iCs/>
          <w:szCs w:val="24"/>
        </w:rPr>
        <w:t>*Attached</w:t>
      </w:r>
    </w:p>
    <w:p w14:paraId="6159AB44" w14:textId="52A33888" w:rsidR="008F05D3" w:rsidRDefault="008F05D3" w:rsidP="00F7736F">
      <w:pPr>
        <w:ind w:left="0"/>
        <w:rPr>
          <w:rFonts w:ascii="Times New Roman" w:hAnsi="Times New Roman" w:cs="Times New Roman"/>
          <w:szCs w:val="24"/>
        </w:rPr>
      </w:pPr>
    </w:p>
    <w:p w14:paraId="5ABC889B" w14:textId="77777777" w:rsidR="008F05D3" w:rsidRDefault="008F05D3">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139DBF6B" w14:textId="77777777" w:rsidR="00155208" w:rsidRPr="00155208" w:rsidRDefault="00155208" w:rsidP="00155208">
      <w:pPr>
        <w:ind w:left="3600" w:right="-720" w:firstLine="720"/>
        <w:rPr>
          <w:rFonts w:ascii="Times New Roman" w:hAnsi="Times New Roman" w:cs="Times New Roman"/>
          <w:b/>
          <w:szCs w:val="24"/>
        </w:rPr>
      </w:pPr>
      <w:r>
        <w:rPr>
          <w:b/>
        </w:rPr>
        <w:lastRenderedPageBreak/>
        <w:t xml:space="preserve">            </w:t>
      </w:r>
      <w:r w:rsidRPr="00155208">
        <w:rPr>
          <w:rFonts w:ascii="Times New Roman" w:hAnsi="Times New Roman" w:cs="Times New Roman"/>
          <w:b/>
          <w:szCs w:val="24"/>
        </w:rPr>
        <w:t>Amended by          Passed        Failed</w:t>
      </w:r>
    </w:p>
    <w:p w14:paraId="25C53621" w14:textId="77777777" w:rsidR="00155208" w:rsidRPr="00155208" w:rsidRDefault="00155208" w:rsidP="00155208">
      <w:pPr>
        <w:ind w:right="-720"/>
        <w:rPr>
          <w:rFonts w:ascii="Times New Roman" w:hAnsi="Times New Roman" w:cs="Times New Roman"/>
          <w:b/>
          <w:szCs w:val="24"/>
        </w:rPr>
      </w:pPr>
    </w:p>
    <w:p w14:paraId="19C39D84" w14:textId="01D26201" w:rsidR="00155208" w:rsidRPr="00155208" w:rsidRDefault="00155208" w:rsidP="00155208">
      <w:pPr>
        <w:tabs>
          <w:tab w:val="right" w:pos="4406"/>
          <w:tab w:val="right" w:pos="4680"/>
          <w:tab w:val="right" w:pos="7834"/>
          <w:tab w:val="right" w:pos="8726"/>
        </w:tabs>
        <w:ind w:right="-720"/>
        <w:rPr>
          <w:rFonts w:ascii="Times New Roman" w:hAnsi="Times New Roman" w:cs="Times New Roman"/>
          <w:szCs w:val="24"/>
        </w:rPr>
      </w:pPr>
      <w:r w:rsidRPr="00155208">
        <w:rPr>
          <w:rFonts w:ascii="Times New Roman" w:hAnsi="Times New Roman" w:cs="Times New Roman"/>
          <w:b/>
          <w:szCs w:val="24"/>
        </w:rPr>
        <w:t>Recommendation No.</w:t>
      </w:r>
      <w:r w:rsidRPr="00155208">
        <w:rPr>
          <w:rFonts w:ascii="Times New Roman" w:hAnsi="Times New Roman" w:cs="Times New Roman"/>
          <w:szCs w:val="24"/>
          <w:u w:val="single"/>
        </w:rPr>
        <w:t> 26-02-01-RFB</w:t>
      </w:r>
      <w:r w:rsidRPr="00155208">
        <w:rPr>
          <w:rFonts w:ascii="Times New Roman" w:hAnsi="Times New Roman" w:cs="Times New Roman"/>
          <w:szCs w:val="24"/>
          <w:u w:val="single"/>
        </w:rPr>
        <w:tab/>
      </w:r>
      <w:r w:rsidRPr="00155208">
        <w:rPr>
          <w:rFonts w:ascii="Times New Roman" w:hAnsi="Times New Roman" w:cs="Times New Roman"/>
          <w:szCs w:val="24"/>
        </w:rPr>
        <w:tab/>
      </w:r>
      <w:r w:rsidRPr="00155208">
        <w:rPr>
          <w:rFonts w:ascii="Times New Roman" w:hAnsi="Times New Roman" w:cs="Times New Roman"/>
          <w:szCs w:val="24"/>
        </w:rPr>
        <w:tab/>
      </w:r>
      <w:proofErr w:type="gramStart"/>
      <w:r w:rsidRPr="00155208">
        <w:rPr>
          <w:rFonts w:ascii="Times New Roman" w:hAnsi="Times New Roman" w:cs="Times New Roman"/>
          <w:szCs w:val="24"/>
        </w:rPr>
        <w:t>1._</w:t>
      </w:r>
      <w:proofErr w:type="gramEnd"/>
      <w:r w:rsidRPr="00155208">
        <w:rPr>
          <w:rFonts w:ascii="Times New Roman" w:hAnsi="Times New Roman" w:cs="Times New Roman"/>
          <w:szCs w:val="24"/>
        </w:rPr>
        <w:t>_______________   ______    _________</w:t>
      </w:r>
    </w:p>
    <w:p w14:paraId="147F7589" w14:textId="215F83AA" w:rsidR="00155208" w:rsidRPr="00155208" w:rsidRDefault="00155208" w:rsidP="00155208">
      <w:pPr>
        <w:tabs>
          <w:tab w:val="right" w:pos="4406"/>
          <w:tab w:val="right" w:pos="4680"/>
          <w:tab w:val="right" w:pos="7834"/>
          <w:tab w:val="right" w:pos="8726"/>
        </w:tabs>
        <w:ind w:right="-720"/>
        <w:rPr>
          <w:rFonts w:ascii="Times New Roman" w:hAnsi="Times New Roman" w:cs="Times New Roman"/>
          <w:szCs w:val="24"/>
        </w:rPr>
      </w:pPr>
      <w:r w:rsidRPr="00155208">
        <w:rPr>
          <w:rFonts w:ascii="Times New Roman" w:hAnsi="Times New Roman" w:cs="Times New Roman"/>
          <w:b/>
          <w:szCs w:val="24"/>
        </w:rPr>
        <w:t>Moved by</w:t>
      </w:r>
      <w:proofErr w:type="gramStart"/>
      <w:r w:rsidRPr="00155208">
        <w:rPr>
          <w:rFonts w:ascii="Times New Roman" w:hAnsi="Times New Roman" w:cs="Times New Roman"/>
          <w:b/>
          <w:szCs w:val="24"/>
        </w:rPr>
        <w:t xml:space="preserve">: </w:t>
      </w:r>
      <w:r w:rsidRPr="00155208">
        <w:rPr>
          <w:rFonts w:ascii="Times New Roman" w:hAnsi="Times New Roman" w:cs="Times New Roman"/>
          <w:szCs w:val="24"/>
          <w:u w:val="single"/>
        </w:rPr>
        <w:t> Retirement</w:t>
      </w:r>
      <w:proofErr w:type="gramEnd"/>
      <w:r w:rsidRPr="00155208">
        <w:rPr>
          <w:rFonts w:ascii="Times New Roman" w:hAnsi="Times New Roman" w:cs="Times New Roman"/>
          <w:szCs w:val="24"/>
          <w:u w:val="single"/>
        </w:rPr>
        <w:t xml:space="preserve"> &amp; Fringe Benefits</w:t>
      </w:r>
      <w:r w:rsidRPr="00155208">
        <w:rPr>
          <w:rFonts w:ascii="Times New Roman" w:hAnsi="Times New Roman" w:cs="Times New Roman"/>
          <w:szCs w:val="24"/>
          <w:u w:val="single"/>
        </w:rPr>
        <w:tab/>
      </w:r>
      <w:r w:rsidRPr="00155208">
        <w:rPr>
          <w:rFonts w:ascii="Times New Roman" w:hAnsi="Times New Roman" w:cs="Times New Roman"/>
          <w:szCs w:val="24"/>
        </w:rPr>
        <w:tab/>
      </w:r>
      <w:r w:rsidRPr="00155208">
        <w:rPr>
          <w:rFonts w:ascii="Times New Roman" w:hAnsi="Times New Roman" w:cs="Times New Roman"/>
          <w:szCs w:val="24"/>
        </w:rPr>
        <w:tab/>
      </w:r>
      <w:proofErr w:type="gramStart"/>
      <w:r w:rsidRPr="00155208">
        <w:rPr>
          <w:rFonts w:ascii="Times New Roman" w:hAnsi="Times New Roman" w:cs="Times New Roman"/>
          <w:szCs w:val="24"/>
        </w:rPr>
        <w:t>2._</w:t>
      </w:r>
      <w:proofErr w:type="gramEnd"/>
      <w:r w:rsidRPr="00155208">
        <w:rPr>
          <w:rFonts w:ascii="Times New Roman" w:hAnsi="Times New Roman" w:cs="Times New Roman"/>
          <w:szCs w:val="24"/>
        </w:rPr>
        <w:t>_______________   ______    _________</w:t>
      </w:r>
    </w:p>
    <w:p w14:paraId="636CA264" w14:textId="1F36BE8B" w:rsidR="00155208" w:rsidRPr="00155208" w:rsidRDefault="00155208" w:rsidP="00155208">
      <w:pPr>
        <w:tabs>
          <w:tab w:val="right" w:pos="4406"/>
          <w:tab w:val="right" w:pos="4680"/>
          <w:tab w:val="right" w:pos="7834"/>
          <w:tab w:val="right" w:pos="8726"/>
        </w:tabs>
        <w:ind w:right="-720"/>
        <w:rPr>
          <w:rFonts w:ascii="Times New Roman" w:hAnsi="Times New Roman" w:cs="Times New Roman"/>
          <w:szCs w:val="24"/>
        </w:rPr>
      </w:pPr>
      <w:r w:rsidRPr="00155208">
        <w:rPr>
          <w:rFonts w:ascii="Times New Roman" w:hAnsi="Times New Roman" w:cs="Times New Roman"/>
          <w:b/>
          <w:szCs w:val="24"/>
        </w:rPr>
        <w:t xml:space="preserve">Seconded </w:t>
      </w:r>
      <w:proofErr w:type="gramStart"/>
      <w:r w:rsidRPr="00155208">
        <w:rPr>
          <w:rFonts w:ascii="Times New Roman" w:hAnsi="Times New Roman" w:cs="Times New Roman"/>
          <w:b/>
          <w:szCs w:val="24"/>
        </w:rPr>
        <w:t>by:</w:t>
      </w:r>
      <w:proofErr w:type="gramEnd"/>
      <w:r w:rsidRPr="00155208">
        <w:rPr>
          <w:rFonts w:ascii="Times New Roman" w:hAnsi="Times New Roman" w:cs="Times New Roman"/>
          <w:b/>
          <w:szCs w:val="24"/>
        </w:rPr>
        <w:t xml:space="preserve"> </w:t>
      </w:r>
      <w:r w:rsidRPr="00155208">
        <w:rPr>
          <w:rFonts w:ascii="Times New Roman" w:hAnsi="Times New Roman" w:cs="Times New Roman"/>
          <w:szCs w:val="24"/>
          <w:u w:val="single"/>
        </w:rPr>
        <w:tab/>
      </w:r>
      <w:r w:rsidRPr="00155208">
        <w:rPr>
          <w:rFonts w:ascii="Times New Roman" w:hAnsi="Times New Roman" w:cs="Times New Roman"/>
          <w:szCs w:val="24"/>
        </w:rPr>
        <w:tab/>
      </w:r>
      <w:r w:rsidRPr="00155208">
        <w:rPr>
          <w:rFonts w:ascii="Times New Roman" w:hAnsi="Times New Roman" w:cs="Times New Roman"/>
          <w:szCs w:val="24"/>
        </w:rPr>
        <w:tab/>
      </w:r>
      <w:proofErr w:type="gramStart"/>
      <w:r w:rsidRPr="00155208">
        <w:rPr>
          <w:rFonts w:ascii="Times New Roman" w:hAnsi="Times New Roman" w:cs="Times New Roman"/>
          <w:szCs w:val="24"/>
        </w:rPr>
        <w:t>3._</w:t>
      </w:r>
      <w:proofErr w:type="gramEnd"/>
      <w:r w:rsidRPr="00155208">
        <w:rPr>
          <w:rFonts w:ascii="Times New Roman" w:hAnsi="Times New Roman" w:cs="Times New Roman"/>
          <w:szCs w:val="24"/>
        </w:rPr>
        <w:t>_______________   ______   _________</w:t>
      </w:r>
    </w:p>
    <w:p w14:paraId="599ECB97" w14:textId="77777777" w:rsidR="00155208" w:rsidRPr="00155208" w:rsidRDefault="00155208" w:rsidP="00155208">
      <w:pPr>
        <w:tabs>
          <w:tab w:val="right" w:pos="4406"/>
          <w:tab w:val="right" w:pos="4680"/>
          <w:tab w:val="right" w:pos="7834"/>
          <w:tab w:val="right" w:pos="8726"/>
        </w:tabs>
        <w:ind w:right="-720"/>
        <w:rPr>
          <w:rFonts w:ascii="Times New Roman" w:hAnsi="Times New Roman" w:cs="Times New Roman"/>
          <w:szCs w:val="24"/>
        </w:rPr>
      </w:pPr>
      <w:r w:rsidRPr="00155208">
        <w:rPr>
          <w:rFonts w:ascii="Times New Roman" w:hAnsi="Times New Roman" w:cs="Times New Roman"/>
          <w:szCs w:val="24"/>
          <w:u w:val="single"/>
        </w:rPr>
        <w:t>        </w:t>
      </w:r>
      <w:r w:rsidRPr="00155208">
        <w:rPr>
          <w:rFonts w:ascii="Times New Roman" w:hAnsi="Times New Roman" w:cs="Times New Roman"/>
          <w:b/>
          <w:szCs w:val="24"/>
        </w:rPr>
        <w:t xml:space="preserve">Passed </w:t>
      </w:r>
      <w:r w:rsidRPr="00155208">
        <w:rPr>
          <w:rFonts w:ascii="Times New Roman" w:hAnsi="Times New Roman" w:cs="Times New Roman"/>
          <w:szCs w:val="24"/>
          <w:u w:val="single"/>
        </w:rPr>
        <w:t>        </w:t>
      </w:r>
      <w:r w:rsidRPr="00155208">
        <w:rPr>
          <w:rFonts w:ascii="Times New Roman" w:hAnsi="Times New Roman" w:cs="Times New Roman"/>
          <w:b/>
          <w:szCs w:val="24"/>
        </w:rPr>
        <w:t xml:space="preserve">Tabled </w:t>
      </w:r>
      <w:r w:rsidRPr="00155208">
        <w:rPr>
          <w:rFonts w:ascii="Times New Roman" w:hAnsi="Times New Roman" w:cs="Times New Roman"/>
          <w:szCs w:val="24"/>
          <w:u w:val="single"/>
        </w:rPr>
        <w:t>        </w:t>
      </w:r>
      <w:r w:rsidRPr="00155208">
        <w:rPr>
          <w:rFonts w:ascii="Times New Roman" w:hAnsi="Times New Roman" w:cs="Times New Roman"/>
          <w:b/>
          <w:szCs w:val="24"/>
        </w:rPr>
        <w:t xml:space="preserve">Failed </w:t>
      </w:r>
      <w:r w:rsidRPr="00155208">
        <w:rPr>
          <w:rFonts w:ascii="Times New Roman" w:hAnsi="Times New Roman" w:cs="Times New Roman"/>
          <w:szCs w:val="24"/>
        </w:rPr>
        <w:tab/>
      </w:r>
      <w:r w:rsidRPr="00155208">
        <w:rPr>
          <w:rFonts w:ascii="Times New Roman" w:hAnsi="Times New Roman" w:cs="Times New Roman"/>
          <w:szCs w:val="24"/>
        </w:rPr>
        <w:tab/>
      </w:r>
      <w:r w:rsidRPr="00155208">
        <w:rPr>
          <w:rFonts w:ascii="Times New Roman" w:hAnsi="Times New Roman" w:cs="Times New Roman"/>
          <w:szCs w:val="24"/>
        </w:rPr>
        <w:tab/>
      </w:r>
      <w:proofErr w:type="gramStart"/>
      <w:r w:rsidRPr="00155208">
        <w:rPr>
          <w:rFonts w:ascii="Times New Roman" w:hAnsi="Times New Roman" w:cs="Times New Roman"/>
          <w:szCs w:val="24"/>
        </w:rPr>
        <w:t>4._</w:t>
      </w:r>
      <w:proofErr w:type="gramEnd"/>
      <w:r w:rsidRPr="00155208">
        <w:rPr>
          <w:rFonts w:ascii="Times New Roman" w:hAnsi="Times New Roman" w:cs="Times New Roman"/>
          <w:szCs w:val="24"/>
        </w:rPr>
        <w:t xml:space="preserve">_______________   ______   _________ </w:t>
      </w:r>
    </w:p>
    <w:p w14:paraId="3BF543F6" w14:textId="77777777" w:rsidR="00155208" w:rsidRPr="00155208" w:rsidRDefault="00155208" w:rsidP="00155208">
      <w:pPr>
        <w:ind w:right="-720"/>
        <w:rPr>
          <w:rFonts w:ascii="Times New Roman" w:hAnsi="Times New Roman" w:cs="Times New Roman"/>
          <w:szCs w:val="24"/>
        </w:rPr>
      </w:pPr>
    </w:p>
    <w:p w14:paraId="4B3D019E" w14:textId="77777777" w:rsidR="00155208" w:rsidRPr="00155208" w:rsidRDefault="00155208" w:rsidP="00155208">
      <w:pPr>
        <w:tabs>
          <w:tab w:val="left" w:pos="8640"/>
        </w:tabs>
        <w:rPr>
          <w:rFonts w:ascii="Times New Roman" w:hAnsi="Times New Roman" w:cs="Times New Roman"/>
          <w:szCs w:val="24"/>
          <w:u w:val="single"/>
        </w:rPr>
      </w:pPr>
      <w:r w:rsidRPr="00155208">
        <w:rPr>
          <w:rFonts w:ascii="Times New Roman" w:hAnsi="Times New Roman" w:cs="Times New Roman"/>
          <w:b/>
          <w:szCs w:val="24"/>
        </w:rPr>
        <w:t>Title:</w:t>
      </w:r>
      <w:r w:rsidRPr="00155208">
        <w:rPr>
          <w:rFonts w:ascii="Times New Roman" w:hAnsi="Times New Roman" w:cs="Times New Roman"/>
          <w:szCs w:val="24"/>
          <w:u w:val="single"/>
        </w:rPr>
        <w:t>       Degree Pursuit for Tenured Faculty</w:t>
      </w:r>
      <w:r w:rsidRPr="00155208">
        <w:rPr>
          <w:rFonts w:ascii="Times New Roman" w:hAnsi="Times New Roman" w:cs="Times New Roman"/>
          <w:szCs w:val="24"/>
          <w:u w:val="single"/>
        </w:rPr>
        <w:tab/>
      </w:r>
    </w:p>
    <w:p w14:paraId="409757DB" w14:textId="77777777" w:rsidR="00155208" w:rsidRPr="00155208" w:rsidRDefault="00155208" w:rsidP="00155208">
      <w:pPr>
        <w:ind w:left="0" w:right="-720" w:firstLine="0"/>
        <w:rPr>
          <w:rFonts w:ascii="Times New Roman" w:hAnsi="Times New Roman" w:cs="Times New Roman"/>
          <w:szCs w:val="24"/>
        </w:rPr>
      </w:pPr>
    </w:p>
    <w:p w14:paraId="091248A6" w14:textId="77777777" w:rsidR="00155208" w:rsidRPr="00155208" w:rsidRDefault="00155208" w:rsidP="00155208">
      <w:pPr>
        <w:ind w:right="-720"/>
        <w:rPr>
          <w:rFonts w:ascii="Times New Roman" w:hAnsi="Times New Roman" w:cs="Times New Roman"/>
          <w:szCs w:val="24"/>
        </w:rPr>
      </w:pPr>
      <w:r w:rsidRPr="00155208">
        <w:rPr>
          <w:rFonts w:ascii="Times New Roman" w:hAnsi="Times New Roman" w:cs="Times New Roman"/>
          <w:b/>
          <w:szCs w:val="24"/>
        </w:rPr>
        <w:t xml:space="preserve">The Faculty Council Recommends to President Hess that:  </w:t>
      </w:r>
    </w:p>
    <w:p w14:paraId="1D79C4D9" w14:textId="77777777" w:rsidR="00155208" w:rsidRPr="00155208" w:rsidRDefault="00155208" w:rsidP="00155208">
      <w:pPr>
        <w:ind w:right="-720"/>
        <w:rPr>
          <w:rFonts w:ascii="Times New Roman" w:hAnsi="Times New Roman" w:cs="Times New Roman"/>
          <w:szCs w:val="24"/>
        </w:rPr>
      </w:pPr>
    </w:p>
    <w:p w14:paraId="638189AE" w14:textId="77777777" w:rsidR="00155208" w:rsidRPr="00155208" w:rsidRDefault="00155208" w:rsidP="00155208">
      <w:pPr>
        <w:ind w:right="-720"/>
        <w:rPr>
          <w:rFonts w:ascii="Times New Roman" w:hAnsi="Times New Roman" w:cs="Times New Roman"/>
          <w:szCs w:val="24"/>
        </w:rPr>
      </w:pPr>
      <w:r w:rsidRPr="00155208">
        <w:rPr>
          <w:rFonts w:ascii="Times New Roman" w:hAnsi="Times New Roman" w:cs="Times New Roman"/>
          <w:szCs w:val="24"/>
        </w:rPr>
        <w:t>Section 4.1 of the Graduate College Academic Catalog that currently reads:</w:t>
      </w:r>
    </w:p>
    <w:p w14:paraId="7B8BB1AC" w14:textId="77777777" w:rsidR="00155208" w:rsidRPr="00155208" w:rsidRDefault="00155208" w:rsidP="00155208">
      <w:pPr>
        <w:ind w:right="-720"/>
        <w:rPr>
          <w:rFonts w:ascii="Times New Roman" w:hAnsi="Times New Roman" w:cs="Times New Roman"/>
          <w:szCs w:val="24"/>
        </w:rPr>
      </w:pPr>
    </w:p>
    <w:p w14:paraId="392C0F0B" w14:textId="77777777" w:rsidR="00155208" w:rsidRPr="00155208" w:rsidRDefault="00155208" w:rsidP="00155208">
      <w:pPr>
        <w:ind w:right="-720"/>
        <w:rPr>
          <w:rFonts w:ascii="Times New Roman" w:hAnsi="Times New Roman" w:cs="Times New Roman"/>
          <w:i/>
          <w:szCs w:val="24"/>
        </w:rPr>
      </w:pPr>
      <w:r w:rsidRPr="00155208">
        <w:rPr>
          <w:rFonts w:ascii="Times New Roman" w:hAnsi="Times New Roman" w:cs="Times New Roman"/>
          <w:i/>
          <w:szCs w:val="24"/>
        </w:rPr>
        <w:t>4.1 OSU Faculty Members.</w:t>
      </w:r>
    </w:p>
    <w:p w14:paraId="6A49E0B3" w14:textId="77777777" w:rsidR="00155208" w:rsidRPr="00155208" w:rsidRDefault="00155208" w:rsidP="00155208">
      <w:pPr>
        <w:ind w:right="-720"/>
        <w:rPr>
          <w:rFonts w:ascii="Times New Roman" w:hAnsi="Times New Roman" w:cs="Times New Roman"/>
          <w:i/>
          <w:szCs w:val="24"/>
        </w:rPr>
      </w:pPr>
      <w:r w:rsidRPr="00155208">
        <w:rPr>
          <w:rFonts w:ascii="Times New Roman" w:hAnsi="Times New Roman" w:cs="Times New Roman"/>
          <w:i/>
          <w:szCs w:val="24"/>
        </w:rPr>
        <w:t>No member of the faculty, with the rank of associate professor or above or equivalent rank at the time of completing the requirements, may be granted a degree or graduate certificate from this institution. This regulation also applies to faculty members in the schools of engineering holding the rank of assistant professor or above.</w:t>
      </w:r>
      <w:r w:rsidRPr="00155208">
        <w:rPr>
          <w:rStyle w:val="FootnoteReference"/>
          <w:rFonts w:ascii="Times New Roman" w:hAnsi="Times New Roman" w:cs="Times New Roman"/>
          <w:i/>
          <w:szCs w:val="24"/>
        </w:rPr>
        <w:footnoteReference w:id="1"/>
      </w:r>
    </w:p>
    <w:p w14:paraId="2F3E2CB6" w14:textId="77777777" w:rsidR="00155208" w:rsidRPr="00155208" w:rsidRDefault="00155208" w:rsidP="00155208">
      <w:pPr>
        <w:ind w:right="-720"/>
        <w:rPr>
          <w:rFonts w:ascii="Times New Roman" w:hAnsi="Times New Roman" w:cs="Times New Roman"/>
          <w:szCs w:val="24"/>
        </w:rPr>
      </w:pPr>
    </w:p>
    <w:p w14:paraId="7F461B5A" w14:textId="77777777" w:rsidR="00155208" w:rsidRPr="00155208" w:rsidRDefault="00155208" w:rsidP="00155208">
      <w:pPr>
        <w:ind w:right="-720"/>
        <w:rPr>
          <w:rFonts w:ascii="Times New Roman" w:hAnsi="Times New Roman" w:cs="Times New Roman"/>
          <w:szCs w:val="24"/>
        </w:rPr>
      </w:pPr>
      <w:r w:rsidRPr="00155208">
        <w:rPr>
          <w:rFonts w:ascii="Times New Roman" w:hAnsi="Times New Roman" w:cs="Times New Roman"/>
          <w:szCs w:val="24"/>
        </w:rPr>
        <w:t>be replaced with the following:</w:t>
      </w:r>
    </w:p>
    <w:p w14:paraId="3F9458B6" w14:textId="77777777" w:rsidR="00155208" w:rsidRPr="00155208" w:rsidRDefault="00155208" w:rsidP="00155208">
      <w:pPr>
        <w:ind w:right="-720"/>
        <w:rPr>
          <w:rFonts w:ascii="Times New Roman" w:hAnsi="Times New Roman" w:cs="Times New Roman"/>
          <w:szCs w:val="24"/>
        </w:rPr>
      </w:pPr>
    </w:p>
    <w:p w14:paraId="391C1243" w14:textId="77777777" w:rsidR="00155208" w:rsidRPr="00155208" w:rsidRDefault="00155208" w:rsidP="00155208">
      <w:pPr>
        <w:ind w:right="-720"/>
        <w:rPr>
          <w:rFonts w:ascii="Times New Roman" w:hAnsi="Times New Roman" w:cs="Times New Roman"/>
          <w:i/>
          <w:szCs w:val="24"/>
        </w:rPr>
      </w:pPr>
      <w:r w:rsidRPr="00155208">
        <w:rPr>
          <w:rFonts w:ascii="Times New Roman" w:hAnsi="Times New Roman" w:cs="Times New Roman"/>
          <w:i/>
          <w:szCs w:val="24"/>
        </w:rPr>
        <w:t>4.1 OSU Faculty Members.</w:t>
      </w:r>
    </w:p>
    <w:p w14:paraId="04F56D82" w14:textId="77777777" w:rsidR="00155208" w:rsidRPr="00155208" w:rsidRDefault="00155208" w:rsidP="00155208">
      <w:pPr>
        <w:ind w:right="-720"/>
        <w:rPr>
          <w:rFonts w:ascii="Times New Roman" w:hAnsi="Times New Roman" w:cs="Times New Roman"/>
          <w:i/>
          <w:iCs/>
          <w:szCs w:val="24"/>
        </w:rPr>
      </w:pPr>
      <w:r w:rsidRPr="00155208">
        <w:rPr>
          <w:rFonts w:ascii="Times New Roman" w:hAnsi="Times New Roman" w:cs="Times New Roman"/>
          <w:i/>
          <w:iCs/>
          <w:szCs w:val="24"/>
        </w:rPr>
        <w:t>With department head/chair approval, a tenure-track or tenured faculty member may pursue and be granted a degree or graduate certificate from this institution, if the requirements of the graduate college and/or college responsible for that graduate degree are met. Head/chair approval or disapproval must be reflected either by written memo or as part of a tuition waiver approval.</w:t>
      </w:r>
    </w:p>
    <w:p w14:paraId="5676CD8C" w14:textId="77777777" w:rsidR="00155208" w:rsidRPr="00155208" w:rsidRDefault="00155208" w:rsidP="00155208">
      <w:pPr>
        <w:ind w:right="-720"/>
        <w:rPr>
          <w:rFonts w:ascii="Times New Roman" w:hAnsi="Times New Roman" w:cs="Times New Roman"/>
          <w:i/>
          <w:szCs w:val="24"/>
        </w:rPr>
      </w:pPr>
    </w:p>
    <w:p w14:paraId="26B84BFA" w14:textId="77777777" w:rsidR="00155208" w:rsidRPr="00155208" w:rsidRDefault="00155208" w:rsidP="00155208">
      <w:pPr>
        <w:ind w:right="-720"/>
        <w:rPr>
          <w:rFonts w:ascii="Times New Roman" w:hAnsi="Times New Roman" w:cs="Times New Roman"/>
          <w:i/>
          <w:szCs w:val="24"/>
        </w:rPr>
      </w:pPr>
      <w:r w:rsidRPr="00155208">
        <w:rPr>
          <w:rFonts w:ascii="Times New Roman" w:hAnsi="Times New Roman" w:cs="Times New Roman"/>
          <w:i/>
          <w:szCs w:val="24"/>
        </w:rPr>
        <w:t>The Head/Chair or designee of the unit responsible for the degree pursued may prohibit any faculty member from serving as a committee member for the person pursuing the degree if, in the sole opinion of that Head/Chair or designee, that committee member would have a conflict of interest.</w:t>
      </w:r>
    </w:p>
    <w:p w14:paraId="074780AD" w14:textId="77777777" w:rsidR="00155208" w:rsidRPr="00155208" w:rsidRDefault="00155208" w:rsidP="00155208">
      <w:pPr>
        <w:ind w:right="-720"/>
        <w:rPr>
          <w:rFonts w:ascii="Times New Roman" w:hAnsi="Times New Roman" w:cs="Times New Roman"/>
          <w:szCs w:val="24"/>
        </w:rPr>
      </w:pPr>
    </w:p>
    <w:p w14:paraId="5D2031EE" w14:textId="77777777" w:rsidR="00155208" w:rsidRPr="00155208" w:rsidRDefault="00155208" w:rsidP="00155208">
      <w:pPr>
        <w:ind w:right="-720"/>
        <w:rPr>
          <w:rFonts w:ascii="Times New Roman" w:hAnsi="Times New Roman" w:cs="Times New Roman"/>
          <w:b/>
          <w:szCs w:val="24"/>
        </w:rPr>
      </w:pPr>
      <w:r w:rsidRPr="00155208">
        <w:rPr>
          <w:rFonts w:ascii="Times New Roman" w:hAnsi="Times New Roman" w:cs="Times New Roman"/>
          <w:b/>
          <w:szCs w:val="24"/>
        </w:rPr>
        <w:t>Rationale:</w:t>
      </w:r>
    </w:p>
    <w:p w14:paraId="3728636F" w14:textId="77777777" w:rsidR="00155208" w:rsidRPr="00155208" w:rsidRDefault="00155208" w:rsidP="00155208">
      <w:pPr>
        <w:ind w:right="-720"/>
        <w:rPr>
          <w:rFonts w:ascii="Times New Roman" w:hAnsi="Times New Roman" w:cs="Times New Roman"/>
          <w:b/>
          <w:szCs w:val="24"/>
        </w:rPr>
      </w:pPr>
    </w:p>
    <w:p w14:paraId="237B695A" w14:textId="77777777" w:rsidR="00155208" w:rsidRPr="00155208" w:rsidRDefault="00155208" w:rsidP="00155208">
      <w:pPr>
        <w:pStyle w:val="NormalWeb"/>
        <w:shd w:val="clear" w:color="auto" w:fill="FFFFFF"/>
        <w:spacing w:after="360"/>
        <w:textAlignment w:val="baseline"/>
        <w:rPr>
          <w:rFonts w:ascii="Times New Roman" w:hAnsi="Times New Roman" w:cs="Times New Roman"/>
          <w:color w:val="000000"/>
          <w:sz w:val="24"/>
          <w:szCs w:val="24"/>
        </w:rPr>
      </w:pPr>
      <w:r w:rsidRPr="00155208">
        <w:rPr>
          <w:rFonts w:ascii="Times New Roman" w:hAnsi="Times New Roman" w:cs="Times New Roman"/>
          <w:sz w:val="24"/>
          <w:szCs w:val="24"/>
        </w:rPr>
        <w:t xml:space="preserve">Replacing this provision will allow us to stay competitive with our sister schools. </w:t>
      </w:r>
      <w:bookmarkStart w:id="0" w:name="_Hlk220571623"/>
      <w:r w:rsidRPr="00155208">
        <w:rPr>
          <w:rFonts w:ascii="Times New Roman" w:hAnsi="Times New Roman" w:cs="Times New Roman"/>
          <w:sz w:val="24"/>
          <w:szCs w:val="24"/>
        </w:rPr>
        <w:br/>
      </w:r>
      <w:r w:rsidRPr="00155208">
        <w:rPr>
          <w:rFonts w:ascii="Times New Roman" w:hAnsi="Times New Roman" w:cs="Times New Roman"/>
          <w:color w:val="000000"/>
          <w:sz w:val="24"/>
          <w:szCs w:val="24"/>
        </w:rPr>
        <w:t xml:space="preserve">All other current and recent Big 12 schools were surveyed to determine which allow for tenured faculty to receive a degree at their institution. </w:t>
      </w:r>
      <w:r w:rsidRPr="00155208">
        <w:rPr>
          <w:rFonts w:ascii="Times New Roman" w:hAnsi="Times New Roman" w:cs="Times New Roman"/>
          <w:b/>
          <w:bCs/>
          <w:sz w:val="24"/>
          <w:szCs w:val="24"/>
        </w:rPr>
        <w:t>OSU is the only institution in the Big12 that does not provide this benefit.</w:t>
      </w:r>
      <w:r w:rsidRPr="00155208">
        <w:rPr>
          <w:rFonts w:ascii="Times New Roman" w:hAnsi="Times New Roman" w:cs="Times New Roman"/>
          <w:sz w:val="24"/>
          <w:szCs w:val="24"/>
        </w:rPr>
        <w:t xml:space="preserve"> </w:t>
      </w:r>
      <w:r w:rsidRPr="00155208">
        <w:rPr>
          <w:rFonts w:ascii="Times New Roman" w:hAnsi="Times New Roman" w:cs="Times New Roman"/>
          <w:color w:val="000000"/>
          <w:sz w:val="24"/>
          <w:szCs w:val="24"/>
        </w:rPr>
        <w:t xml:space="preserve">Some tout this as part of their benefits package to potential faculty hires. Several benefits were given. For example, ISU had a program to encourage tenured faculty to get a graduate degree in statistical methods to further enhance their research method </w:t>
      </w:r>
      <w:r w:rsidRPr="00155208">
        <w:rPr>
          <w:rFonts w:ascii="Times New Roman" w:hAnsi="Times New Roman" w:cs="Times New Roman"/>
          <w:color w:val="000000"/>
          <w:sz w:val="24"/>
          <w:szCs w:val="24"/>
        </w:rPr>
        <w:lastRenderedPageBreak/>
        <w:t xml:space="preserve">acumen. This could easily be leveraged as a fringe benefit here to add to the current benefit of tuition waivers for dependents. For example, engineers or those in the sciences may want to earn an MBA if they are interested in startups for their patents or other research to allow them to gain business knowledge to expand upon their current knowledge. As at ISU, faculty could earn a degree in statistical methods to aid in their research studies. These are just a couple examples that provide a multidisciplinary perspective </w:t>
      </w:r>
      <w:proofErr w:type="gramStart"/>
      <w:r w:rsidRPr="00155208">
        <w:rPr>
          <w:rFonts w:ascii="Times New Roman" w:hAnsi="Times New Roman" w:cs="Times New Roman"/>
          <w:color w:val="000000"/>
          <w:sz w:val="24"/>
          <w:szCs w:val="24"/>
        </w:rPr>
        <w:t>to</w:t>
      </w:r>
      <w:proofErr w:type="gramEnd"/>
      <w:r w:rsidRPr="00155208">
        <w:rPr>
          <w:rFonts w:ascii="Times New Roman" w:hAnsi="Times New Roman" w:cs="Times New Roman"/>
          <w:color w:val="000000"/>
          <w:sz w:val="24"/>
          <w:szCs w:val="24"/>
        </w:rPr>
        <w:t xml:space="preserve"> our faculty and offer a fringe benefit to attract and retain high quality faculty</w:t>
      </w:r>
      <w:bookmarkEnd w:id="0"/>
      <w:r w:rsidRPr="00155208">
        <w:rPr>
          <w:rFonts w:ascii="Times New Roman" w:hAnsi="Times New Roman" w:cs="Times New Roman"/>
          <w:color w:val="000000"/>
          <w:sz w:val="24"/>
          <w:szCs w:val="24"/>
        </w:rPr>
        <w:t>.</w:t>
      </w:r>
    </w:p>
    <w:tbl>
      <w:tblPr>
        <w:tblStyle w:val="TableGrid1"/>
        <w:tblW w:w="5000" w:type="pct"/>
        <w:tblLook w:val="04A0" w:firstRow="1" w:lastRow="0" w:firstColumn="1" w:lastColumn="0" w:noHBand="0" w:noVBand="1"/>
      </w:tblPr>
      <w:tblGrid>
        <w:gridCol w:w="1175"/>
        <w:gridCol w:w="1225"/>
        <w:gridCol w:w="1061"/>
        <w:gridCol w:w="4122"/>
        <w:gridCol w:w="1064"/>
        <w:gridCol w:w="703"/>
      </w:tblGrid>
      <w:tr w:rsidR="00155208" w:rsidRPr="001F6D4B" w14:paraId="41A7131D" w14:textId="77777777" w:rsidTr="007829F3">
        <w:tc>
          <w:tcPr>
            <w:tcW w:w="634" w:type="pct"/>
          </w:tcPr>
          <w:p w14:paraId="508554DF"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School</w:t>
            </w:r>
          </w:p>
        </w:tc>
        <w:tc>
          <w:tcPr>
            <w:tcW w:w="1234" w:type="pct"/>
            <w:gridSpan w:val="2"/>
          </w:tcPr>
          <w:p w14:paraId="2615CB2D"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Allowed</w:t>
            </w:r>
          </w:p>
        </w:tc>
        <w:tc>
          <w:tcPr>
            <w:tcW w:w="2210" w:type="pct"/>
          </w:tcPr>
          <w:p w14:paraId="2D2040DC"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Tuition Waiver</w:t>
            </w:r>
          </w:p>
        </w:tc>
        <w:tc>
          <w:tcPr>
            <w:tcW w:w="575" w:type="pct"/>
          </w:tcPr>
          <w:p w14:paraId="496504A6"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Carnegie</w:t>
            </w:r>
          </w:p>
        </w:tc>
        <w:tc>
          <w:tcPr>
            <w:tcW w:w="347" w:type="pct"/>
          </w:tcPr>
          <w:p w14:paraId="43702E25"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AAU</w:t>
            </w:r>
          </w:p>
        </w:tc>
      </w:tr>
      <w:tr w:rsidR="00155208" w:rsidRPr="001F6D4B" w14:paraId="7FE16183" w14:textId="77777777" w:rsidTr="007829F3">
        <w:tc>
          <w:tcPr>
            <w:tcW w:w="634" w:type="pct"/>
          </w:tcPr>
          <w:p w14:paraId="419518ED"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Baylor</w:t>
            </w:r>
          </w:p>
        </w:tc>
        <w:tc>
          <w:tcPr>
            <w:tcW w:w="1234" w:type="pct"/>
            <w:gridSpan w:val="2"/>
            <w:shd w:val="clear" w:color="auto" w:fill="A8D08D"/>
          </w:tcPr>
          <w:p w14:paraId="0FEA0A53"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209ADDE8"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6 credits/semester</w:t>
            </w:r>
          </w:p>
        </w:tc>
        <w:tc>
          <w:tcPr>
            <w:tcW w:w="575" w:type="pct"/>
          </w:tcPr>
          <w:p w14:paraId="703FD942"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5C7E99DC" w14:textId="77777777" w:rsidR="00155208" w:rsidRPr="001F6D4B" w:rsidRDefault="00155208" w:rsidP="007829F3">
            <w:pPr>
              <w:textAlignment w:val="baseline"/>
              <w:rPr>
                <w:rFonts w:ascii="Times New Roman" w:hAnsi="Times New Roman" w:cs="Times New Roman"/>
                <w:sz w:val="22"/>
              </w:rPr>
            </w:pPr>
          </w:p>
        </w:tc>
      </w:tr>
      <w:tr w:rsidR="00155208" w:rsidRPr="001F6D4B" w14:paraId="4883CA42" w14:textId="77777777" w:rsidTr="007829F3">
        <w:tc>
          <w:tcPr>
            <w:tcW w:w="634" w:type="pct"/>
          </w:tcPr>
          <w:p w14:paraId="0466E192"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ISU</w:t>
            </w:r>
          </w:p>
        </w:tc>
        <w:tc>
          <w:tcPr>
            <w:tcW w:w="1234" w:type="pct"/>
            <w:gridSpan w:val="2"/>
            <w:shd w:val="clear" w:color="auto" w:fill="A8D08D"/>
          </w:tcPr>
          <w:p w14:paraId="79E83EA1"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5DB7A737" w14:textId="77777777" w:rsidR="00155208" w:rsidRPr="001F6D4B" w:rsidRDefault="00155208" w:rsidP="007829F3">
            <w:pPr>
              <w:tabs>
                <w:tab w:val="center" w:pos="1416"/>
              </w:tabs>
              <w:textAlignment w:val="baseline"/>
              <w:rPr>
                <w:rFonts w:ascii="Times New Roman" w:hAnsi="Times New Roman" w:cs="Times New Roman"/>
                <w:sz w:val="22"/>
              </w:rPr>
            </w:pPr>
            <w:r w:rsidRPr="001F6D4B">
              <w:rPr>
                <w:rFonts w:ascii="Times New Roman" w:hAnsi="Times New Roman" w:cs="Times New Roman"/>
                <w:sz w:val="22"/>
              </w:rPr>
              <w:t>none</w:t>
            </w:r>
            <w:r w:rsidRPr="001F6D4B">
              <w:rPr>
                <w:rFonts w:ascii="Times New Roman" w:hAnsi="Times New Roman" w:cs="Times New Roman"/>
                <w:sz w:val="22"/>
              </w:rPr>
              <w:tab/>
            </w:r>
          </w:p>
        </w:tc>
        <w:tc>
          <w:tcPr>
            <w:tcW w:w="575" w:type="pct"/>
          </w:tcPr>
          <w:p w14:paraId="6996C537"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5818BFD2" w14:textId="77777777" w:rsidR="00155208" w:rsidRPr="001F6D4B" w:rsidRDefault="00155208" w:rsidP="007829F3">
            <w:pPr>
              <w:textAlignment w:val="baseline"/>
              <w:rPr>
                <w:rFonts w:ascii="Times New Roman" w:hAnsi="Times New Roman" w:cs="Times New Roman"/>
                <w:sz w:val="22"/>
              </w:rPr>
            </w:pPr>
          </w:p>
        </w:tc>
      </w:tr>
      <w:tr w:rsidR="00155208" w:rsidRPr="001F6D4B" w14:paraId="7D4C3088" w14:textId="77777777" w:rsidTr="007829F3">
        <w:tc>
          <w:tcPr>
            <w:tcW w:w="634" w:type="pct"/>
          </w:tcPr>
          <w:p w14:paraId="02F32032"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KU</w:t>
            </w:r>
          </w:p>
        </w:tc>
        <w:tc>
          <w:tcPr>
            <w:tcW w:w="1234" w:type="pct"/>
            <w:gridSpan w:val="2"/>
            <w:shd w:val="clear" w:color="auto" w:fill="A8D08D"/>
          </w:tcPr>
          <w:p w14:paraId="4426C5F3"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1E84E66E"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approval</w:t>
            </w:r>
          </w:p>
        </w:tc>
        <w:tc>
          <w:tcPr>
            <w:tcW w:w="575" w:type="pct"/>
          </w:tcPr>
          <w:p w14:paraId="6B88CAB2"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79D50C77"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Yes</w:t>
            </w:r>
          </w:p>
        </w:tc>
      </w:tr>
      <w:tr w:rsidR="00155208" w:rsidRPr="001F6D4B" w14:paraId="007374B7" w14:textId="77777777" w:rsidTr="007829F3">
        <w:tc>
          <w:tcPr>
            <w:tcW w:w="634" w:type="pct"/>
          </w:tcPr>
          <w:p w14:paraId="6EEEC29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KSU</w:t>
            </w:r>
          </w:p>
        </w:tc>
        <w:tc>
          <w:tcPr>
            <w:tcW w:w="1234" w:type="pct"/>
            <w:gridSpan w:val="2"/>
            <w:shd w:val="clear" w:color="auto" w:fill="A8D08D"/>
          </w:tcPr>
          <w:p w14:paraId="58AD3948"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087B722D"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6 credits/semester</w:t>
            </w:r>
          </w:p>
        </w:tc>
        <w:tc>
          <w:tcPr>
            <w:tcW w:w="575" w:type="pct"/>
          </w:tcPr>
          <w:p w14:paraId="02D7D4DC"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2D0DAB5A" w14:textId="77777777" w:rsidR="00155208" w:rsidRPr="001F6D4B" w:rsidRDefault="00155208" w:rsidP="007829F3">
            <w:pPr>
              <w:textAlignment w:val="baseline"/>
              <w:rPr>
                <w:rFonts w:ascii="Times New Roman" w:hAnsi="Times New Roman" w:cs="Times New Roman"/>
                <w:sz w:val="22"/>
              </w:rPr>
            </w:pPr>
          </w:p>
        </w:tc>
      </w:tr>
      <w:tr w:rsidR="00155208" w:rsidRPr="001F6D4B" w14:paraId="441FBC4D" w14:textId="77777777" w:rsidTr="007829F3">
        <w:tc>
          <w:tcPr>
            <w:tcW w:w="634" w:type="pct"/>
          </w:tcPr>
          <w:p w14:paraId="685152DD"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OU</w:t>
            </w:r>
          </w:p>
        </w:tc>
        <w:tc>
          <w:tcPr>
            <w:tcW w:w="1234" w:type="pct"/>
            <w:gridSpan w:val="2"/>
            <w:shd w:val="clear" w:color="auto" w:fill="A8D08D"/>
          </w:tcPr>
          <w:p w14:paraId="12E4E5F2"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725624F1"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½ tuition and fees 6 credits</w:t>
            </w:r>
          </w:p>
        </w:tc>
        <w:tc>
          <w:tcPr>
            <w:tcW w:w="575" w:type="pct"/>
          </w:tcPr>
          <w:p w14:paraId="6DD41BF2"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7D41106A" w14:textId="77777777" w:rsidR="00155208" w:rsidRPr="001F6D4B" w:rsidRDefault="00155208" w:rsidP="007829F3">
            <w:pPr>
              <w:textAlignment w:val="baseline"/>
              <w:rPr>
                <w:rFonts w:ascii="Times New Roman" w:hAnsi="Times New Roman" w:cs="Times New Roman"/>
                <w:sz w:val="22"/>
              </w:rPr>
            </w:pPr>
          </w:p>
        </w:tc>
      </w:tr>
      <w:tr w:rsidR="00155208" w:rsidRPr="001F6D4B" w14:paraId="4773B2B2" w14:textId="77777777" w:rsidTr="007829F3">
        <w:tc>
          <w:tcPr>
            <w:tcW w:w="634" w:type="pct"/>
          </w:tcPr>
          <w:p w14:paraId="1087B150"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OSU</w:t>
            </w:r>
          </w:p>
        </w:tc>
        <w:tc>
          <w:tcPr>
            <w:tcW w:w="1234" w:type="pct"/>
            <w:gridSpan w:val="2"/>
            <w:shd w:val="clear" w:color="auto" w:fill="F4B083"/>
          </w:tcPr>
          <w:p w14:paraId="40AA0DA6"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No</w:t>
            </w:r>
          </w:p>
        </w:tc>
        <w:tc>
          <w:tcPr>
            <w:tcW w:w="2210" w:type="pct"/>
          </w:tcPr>
          <w:p w14:paraId="56DA6D00"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½ tuition and fees</w:t>
            </w:r>
          </w:p>
        </w:tc>
        <w:tc>
          <w:tcPr>
            <w:tcW w:w="575" w:type="pct"/>
          </w:tcPr>
          <w:p w14:paraId="14946EB9"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1D685AE5" w14:textId="77777777" w:rsidR="00155208" w:rsidRPr="001F6D4B" w:rsidRDefault="00155208" w:rsidP="007829F3">
            <w:pPr>
              <w:textAlignment w:val="baseline"/>
              <w:rPr>
                <w:rFonts w:ascii="Times New Roman" w:hAnsi="Times New Roman" w:cs="Times New Roman"/>
                <w:sz w:val="22"/>
              </w:rPr>
            </w:pPr>
          </w:p>
        </w:tc>
      </w:tr>
      <w:tr w:rsidR="00155208" w:rsidRPr="001F6D4B" w14:paraId="5A1606C2" w14:textId="77777777" w:rsidTr="007829F3">
        <w:tc>
          <w:tcPr>
            <w:tcW w:w="634" w:type="pct"/>
          </w:tcPr>
          <w:p w14:paraId="3C9B36A6"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Texas</w:t>
            </w:r>
          </w:p>
        </w:tc>
        <w:tc>
          <w:tcPr>
            <w:tcW w:w="1234" w:type="pct"/>
            <w:gridSpan w:val="2"/>
            <w:shd w:val="clear" w:color="auto" w:fill="A8D08D"/>
          </w:tcPr>
          <w:p w14:paraId="298C4BEF"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0649CA32"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none</w:t>
            </w:r>
          </w:p>
        </w:tc>
        <w:tc>
          <w:tcPr>
            <w:tcW w:w="575" w:type="pct"/>
          </w:tcPr>
          <w:p w14:paraId="57DEA6B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13AFCB46"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Yes</w:t>
            </w:r>
          </w:p>
        </w:tc>
      </w:tr>
      <w:tr w:rsidR="00155208" w:rsidRPr="001F6D4B" w14:paraId="7224E502" w14:textId="77777777" w:rsidTr="007829F3">
        <w:tc>
          <w:tcPr>
            <w:tcW w:w="634" w:type="pct"/>
          </w:tcPr>
          <w:p w14:paraId="1A0E2183"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TCU</w:t>
            </w:r>
          </w:p>
        </w:tc>
        <w:tc>
          <w:tcPr>
            <w:tcW w:w="1234" w:type="pct"/>
            <w:gridSpan w:val="2"/>
            <w:shd w:val="clear" w:color="auto" w:fill="A8D08D"/>
          </w:tcPr>
          <w:p w14:paraId="2B285AAF"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462BB8FA"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6 credits/semester</w:t>
            </w:r>
          </w:p>
        </w:tc>
        <w:tc>
          <w:tcPr>
            <w:tcW w:w="575" w:type="pct"/>
          </w:tcPr>
          <w:p w14:paraId="16641AA7"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R2</w:t>
            </w:r>
          </w:p>
        </w:tc>
        <w:tc>
          <w:tcPr>
            <w:tcW w:w="347" w:type="pct"/>
          </w:tcPr>
          <w:p w14:paraId="195F2541" w14:textId="77777777" w:rsidR="00155208" w:rsidRPr="001F6D4B" w:rsidRDefault="00155208" w:rsidP="007829F3">
            <w:pPr>
              <w:textAlignment w:val="baseline"/>
              <w:rPr>
                <w:rFonts w:ascii="Times New Roman" w:hAnsi="Times New Roman" w:cs="Times New Roman"/>
                <w:sz w:val="22"/>
              </w:rPr>
            </w:pPr>
          </w:p>
        </w:tc>
      </w:tr>
      <w:tr w:rsidR="00155208" w:rsidRPr="001F6D4B" w14:paraId="7927355E" w14:textId="77777777" w:rsidTr="007829F3">
        <w:tc>
          <w:tcPr>
            <w:tcW w:w="634" w:type="pct"/>
          </w:tcPr>
          <w:p w14:paraId="0C7278FD"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Texas Tech</w:t>
            </w:r>
          </w:p>
        </w:tc>
        <w:tc>
          <w:tcPr>
            <w:tcW w:w="661" w:type="pct"/>
            <w:shd w:val="clear" w:color="auto" w:fill="A8D08D"/>
          </w:tcPr>
          <w:p w14:paraId="1E982DBF"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undergrad</w:t>
            </w:r>
          </w:p>
          <w:p w14:paraId="4F1FB5D4"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573" w:type="pct"/>
            <w:shd w:val="clear" w:color="auto" w:fill="FFE599"/>
          </w:tcPr>
          <w:p w14:paraId="0E8F5DC3" w14:textId="77777777" w:rsidR="00155208" w:rsidRPr="001F6D4B" w:rsidRDefault="00155208" w:rsidP="007829F3">
            <w:pPr>
              <w:jc w:val="center"/>
              <w:textAlignment w:val="baseline"/>
              <w:rPr>
                <w:rFonts w:ascii="Times New Roman" w:hAnsi="Times New Roman" w:cs="Times New Roman"/>
                <w:sz w:val="22"/>
              </w:rPr>
            </w:pPr>
            <w:proofErr w:type="gramStart"/>
            <w:r w:rsidRPr="001F6D4B">
              <w:rPr>
                <w:rFonts w:ascii="Times New Roman" w:hAnsi="Times New Roman" w:cs="Times New Roman"/>
                <w:sz w:val="22"/>
              </w:rPr>
              <w:t>grad</w:t>
            </w:r>
            <w:proofErr w:type="gramEnd"/>
          </w:p>
          <w:p w14:paraId="2D0CA9DA"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approval</w:t>
            </w:r>
          </w:p>
        </w:tc>
        <w:tc>
          <w:tcPr>
            <w:tcW w:w="2210" w:type="pct"/>
          </w:tcPr>
          <w:p w14:paraId="59DCE9E2"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4 credits/semester</w:t>
            </w:r>
          </w:p>
        </w:tc>
        <w:tc>
          <w:tcPr>
            <w:tcW w:w="575" w:type="pct"/>
          </w:tcPr>
          <w:p w14:paraId="0B056D34"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6A3B1F28" w14:textId="77777777" w:rsidR="00155208" w:rsidRPr="001F6D4B" w:rsidRDefault="00155208" w:rsidP="007829F3">
            <w:pPr>
              <w:textAlignment w:val="baseline"/>
              <w:rPr>
                <w:rFonts w:ascii="Times New Roman" w:hAnsi="Times New Roman" w:cs="Times New Roman"/>
                <w:sz w:val="22"/>
              </w:rPr>
            </w:pPr>
          </w:p>
        </w:tc>
      </w:tr>
      <w:tr w:rsidR="00155208" w:rsidRPr="001F6D4B" w14:paraId="124A81B2" w14:textId="77777777" w:rsidTr="007829F3">
        <w:tc>
          <w:tcPr>
            <w:tcW w:w="634" w:type="pct"/>
          </w:tcPr>
          <w:p w14:paraId="7037504E"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WVU</w:t>
            </w:r>
          </w:p>
        </w:tc>
        <w:tc>
          <w:tcPr>
            <w:tcW w:w="1234" w:type="pct"/>
            <w:gridSpan w:val="2"/>
            <w:shd w:val="clear" w:color="auto" w:fill="A8D08D"/>
          </w:tcPr>
          <w:p w14:paraId="1510B59A"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3D1392C3"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6 credits/semester</w:t>
            </w:r>
          </w:p>
        </w:tc>
        <w:tc>
          <w:tcPr>
            <w:tcW w:w="575" w:type="pct"/>
          </w:tcPr>
          <w:p w14:paraId="32F2170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0C6B7A96" w14:textId="77777777" w:rsidR="00155208" w:rsidRPr="001F6D4B" w:rsidRDefault="00155208" w:rsidP="007829F3">
            <w:pPr>
              <w:textAlignment w:val="baseline"/>
              <w:rPr>
                <w:rFonts w:ascii="Times New Roman" w:hAnsi="Times New Roman" w:cs="Times New Roman"/>
                <w:sz w:val="22"/>
              </w:rPr>
            </w:pPr>
          </w:p>
        </w:tc>
      </w:tr>
      <w:tr w:rsidR="00155208" w:rsidRPr="001F6D4B" w14:paraId="160EB4E9" w14:textId="77777777" w:rsidTr="007829F3">
        <w:tc>
          <w:tcPr>
            <w:tcW w:w="634" w:type="pct"/>
          </w:tcPr>
          <w:p w14:paraId="4F5E3BCA"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Cincinnati</w:t>
            </w:r>
          </w:p>
        </w:tc>
        <w:tc>
          <w:tcPr>
            <w:tcW w:w="1234" w:type="pct"/>
            <w:gridSpan w:val="2"/>
            <w:shd w:val="clear" w:color="auto" w:fill="A8D08D"/>
          </w:tcPr>
          <w:p w14:paraId="6D28A213"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4ADEB01B"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unlimited</w:t>
            </w:r>
          </w:p>
        </w:tc>
        <w:tc>
          <w:tcPr>
            <w:tcW w:w="575" w:type="pct"/>
          </w:tcPr>
          <w:p w14:paraId="5C16E9BA"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76117050" w14:textId="77777777" w:rsidR="00155208" w:rsidRPr="001F6D4B" w:rsidRDefault="00155208" w:rsidP="007829F3">
            <w:pPr>
              <w:textAlignment w:val="baseline"/>
              <w:rPr>
                <w:rFonts w:ascii="Times New Roman" w:hAnsi="Times New Roman" w:cs="Times New Roman"/>
                <w:sz w:val="22"/>
              </w:rPr>
            </w:pPr>
          </w:p>
        </w:tc>
      </w:tr>
      <w:tr w:rsidR="00155208" w:rsidRPr="001F6D4B" w14:paraId="470DC64A" w14:textId="77777777" w:rsidTr="007829F3">
        <w:tc>
          <w:tcPr>
            <w:tcW w:w="634" w:type="pct"/>
          </w:tcPr>
          <w:p w14:paraId="4D3F0E42"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UCF</w:t>
            </w:r>
          </w:p>
        </w:tc>
        <w:tc>
          <w:tcPr>
            <w:tcW w:w="1234" w:type="pct"/>
            <w:gridSpan w:val="2"/>
          </w:tcPr>
          <w:p w14:paraId="0712DBFD"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No response</w:t>
            </w:r>
          </w:p>
        </w:tc>
        <w:tc>
          <w:tcPr>
            <w:tcW w:w="2210" w:type="pct"/>
          </w:tcPr>
          <w:p w14:paraId="798E1C7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6 credits/semester</w:t>
            </w:r>
          </w:p>
        </w:tc>
        <w:tc>
          <w:tcPr>
            <w:tcW w:w="575" w:type="pct"/>
          </w:tcPr>
          <w:p w14:paraId="5BE83F0D"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77C7CCEE" w14:textId="77777777" w:rsidR="00155208" w:rsidRPr="001F6D4B" w:rsidRDefault="00155208" w:rsidP="007829F3">
            <w:pPr>
              <w:textAlignment w:val="baseline"/>
              <w:rPr>
                <w:rFonts w:ascii="Times New Roman" w:hAnsi="Times New Roman" w:cs="Times New Roman"/>
                <w:sz w:val="22"/>
              </w:rPr>
            </w:pPr>
          </w:p>
        </w:tc>
      </w:tr>
      <w:tr w:rsidR="00155208" w:rsidRPr="001F6D4B" w14:paraId="2BEAB409" w14:textId="77777777" w:rsidTr="007829F3">
        <w:tc>
          <w:tcPr>
            <w:tcW w:w="634" w:type="pct"/>
          </w:tcPr>
          <w:p w14:paraId="767CDA39"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Colorado</w:t>
            </w:r>
          </w:p>
        </w:tc>
        <w:tc>
          <w:tcPr>
            <w:tcW w:w="1234" w:type="pct"/>
            <w:gridSpan w:val="2"/>
            <w:shd w:val="clear" w:color="auto" w:fill="A8D08D"/>
          </w:tcPr>
          <w:p w14:paraId="2ECCB8A4"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7ED42FD6"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12 credits/academic year</w:t>
            </w:r>
          </w:p>
        </w:tc>
        <w:tc>
          <w:tcPr>
            <w:tcW w:w="575" w:type="pct"/>
          </w:tcPr>
          <w:p w14:paraId="2D3C10CA"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745CEC86"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Yes</w:t>
            </w:r>
          </w:p>
        </w:tc>
      </w:tr>
      <w:tr w:rsidR="00155208" w:rsidRPr="001F6D4B" w14:paraId="20BA9F60" w14:textId="77777777" w:rsidTr="007829F3">
        <w:tc>
          <w:tcPr>
            <w:tcW w:w="634" w:type="pct"/>
          </w:tcPr>
          <w:p w14:paraId="660991B6"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Arizona</w:t>
            </w:r>
          </w:p>
        </w:tc>
        <w:tc>
          <w:tcPr>
            <w:tcW w:w="1234" w:type="pct"/>
            <w:gridSpan w:val="2"/>
            <w:shd w:val="clear" w:color="auto" w:fill="A8D08D"/>
          </w:tcPr>
          <w:p w14:paraId="1827E828"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4E0215BB"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Tuition is reduced to $25 per semester/term.</w:t>
            </w:r>
          </w:p>
          <w:p w14:paraId="4108808C" w14:textId="77777777" w:rsidR="00155208" w:rsidRPr="001F6D4B" w:rsidRDefault="00155208" w:rsidP="007829F3">
            <w:pPr>
              <w:textAlignment w:val="baseline"/>
              <w:rPr>
                <w:rFonts w:ascii="Times New Roman" w:hAnsi="Times New Roman" w:cs="Times New Roman"/>
                <w:sz w:val="22"/>
              </w:rPr>
            </w:pPr>
          </w:p>
          <w:p w14:paraId="7E385DFC"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9 credits/fall and spring</w:t>
            </w:r>
          </w:p>
          <w:p w14:paraId="537A98A9"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6 credits for summer/winter</w:t>
            </w:r>
          </w:p>
        </w:tc>
        <w:tc>
          <w:tcPr>
            <w:tcW w:w="575" w:type="pct"/>
          </w:tcPr>
          <w:p w14:paraId="213F7F03"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1BF853FC"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Yes</w:t>
            </w:r>
          </w:p>
        </w:tc>
      </w:tr>
      <w:tr w:rsidR="00155208" w:rsidRPr="001F6D4B" w14:paraId="360DF3EE" w14:textId="77777777" w:rsidTr="007829F3">
        <w:tc>
          <w:tcPr>
            <w:tcW w:w="634" w:type="pct"/>
          </w:tcPr>
          <w:p w14:paraId="3280DB86"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Arizona State</w:t>
            </w:r>
          </w:p>
        </w:tc>
        <w:tc>
          <w:tcPr>
            <w:tcW w:w="1234" w:type="pct"/>
            <w:gridSpan w:val="2"/>
          </w:tcPr>
          <w:p w14:paraId="14727F9F"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0796A55F" w14:textId="77777777" w:rsidR="00155208" w:rsidRPr="001F6D4B" w:rsidRDefault="00155208" w:rsidP="007829F3">
            <w:pPr>
              <w:pStyle w:val="NormalWeb"/>
              <w:textAlignment w:val="baseline"/>
              <w:rPr>
                <w:rFonts w:ascii="Times New Roman" w:hAnsi="Times New Roman" w:cs="Times New Roman"/>
                <w:color w:val="000000"/>
              </w:rPr>
            </w:pPr>
            <w:r w:rsidRPr="001F6D4B">
              <w:rPr>
                <w:rFonts w:ascii="Times New Roman" w:hAnsi="Times New Roman" w:cs="Times New Roman"/>
                <w:color w:val="000000"/>
              </w:rPr>
              <w:t>Tuition is reduced to $25 per semester/term.</w:t>
            </w:r>
          </w:p>
          <w:p w14:paraId="3952E03D" w14:textId="77777777" w:rsidR="00155208" w:rsidRPr="001F6D4B" w:rsidRDefault="00155208" w:rsidP="007829F3">
            <w:pPr>
              <w:pStyle w:val="NormalWeb"/>
              <w:textAlignment w:val="baseline"/>
              <w:rPr>
                <w:rFonts w:ascii="Times New Roman" w:hAnsi="Times New Roman" w:cs="Times New Roman"/>
                <w:color w:val="000000"/>
              </w:rPr>
            </w:pPr>
          </w:p>
          <w:p w14:paraId="3B715CE0" w14:textId="77777777" w:rsidR="00155208" w:rsidRPr="001F6D4B" w:rsidRDefault="00155208" w:rsidP="007829F3">
            <w:pPr>
              <w:pStyle w:val="NormalWeb"/>
              <w:textAlignment w:val="baseline"/>
              <w:rPr>
                <w:rFonts w:ascii="Times New Roman" w:hAnsi="Times New Roman" w:cs="Times New Roman"/>
                <w:color w:val="000000"/>
              </w:rPr>
            </w:pPr>
            <w:r w:rsidRPr="001F6D4B">
              <w:rPr>
                <w:rFonts w:ascii="Times New Roman" w:hAnsi="Times New Roman" w:cs="Times New Roman"/>
                <w:color w:val="000000"/>
              </w:rPr>
              <w:t>9 credits/fall and spring</w:t>
            </w:r>
          </w:p>
          <w:p w14:paraId="0704D99E" w14:textId="77777777" w:rsidR="00155208" w:rsidRPr="001F6D4B" w:rsidRDefault="00155208" w:rsidP="007829F3">
            <w:pPr>
              <w:pStyle w:val="NormalWeb"/>
              <w:textAlignment w:val="baseline"/>
              <w:rPr>
                <w:rFonts w:ascii="Times New Roman" w:hAnsi="Times New Roman" w:cs="Times New Roman"/>
                <w:color w:val="000000"/>
              </w:rPr>
            </w:pPr>
            <w:r w:rsidRPr="001F6D4B">
              <w:rPr>
                <w:rFonts w:ascii="Times New Roman" w:hAnsi="Times New Roman" w:cs="Times New Roman"/>
                <w:color w:val="000000"/>
              </w:rPr>
              <w:t>6 credits for summer/winter</w:t>
            </w:r>
          </w:p>
          <w:p w14:paraId="601D2683" w14:textId="77777777" w:rsidR="00155208" w:rsidRPr="001F6D4B" w:rsidRDefault="00155208" w:rsidP="007829F3">
            <w:pPr>
              <w:pStyle w:val="NormalWeb"/>
              <w:textAlignment w:val="baseline"/>
              <w:rPr>
                <w:rFonts w:ascii="Times New Roman" w:hAnsi="Times New Roman" w:cs="Times New Roman"/>
                <w:color w:val="000000"/>
              </w:rPr>
            </w:pPr>
          </w:p>
          <w:p w14:paraId="595B5E8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More credits at actual resident tuition rate.</w:t>
            </w:r>
          </w:p>
        </w:tc>
        <w:tc>
          <w:tcPr>
            <w:tcW w:w="575" w:type="pct"/>
          </w:tcPr>
          <w:p w14:paraId="21476E2A"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4C5A0F68"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Yes</w:t>
            </w:r>
          </w:p>
        </w:tc>
      </w:tr>
      <w:tr w:rsidR="00155208" w:rsidRPr="001F6D4B" w14:paraId="3BA97D32" w14:textId="77777777" w:rsidTr="007829F3">
        <w:tc>
          <w:tcPr>
            <w:tcW w:w="634" w:type="pct"/>
          </w:tcPr>
          <w:p w14:paraId="5053C18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Utah</w:t>
            </w:r>
          </w:p>
        </w:tc>
        <w:tc>
          <w:tcPr>
            <w:tcW w:w="1234" w:type="pct"/>
            <w:gridSpan w:val="2"/>
            <w:shd w:val="clear" w:color="auto" w:fill="A8D08D"/>
          </w:tcPr>
          <w:p w14:paraId="38356B75"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74683F8B"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½ resident or nonresident tuition (unlimited)</w:t>
            </w:r>
          </w:p>
        </w:tc>
        <w:tc>
          <w:tcPr>
            <w:tcW w:w="575" w:type="pct"/>
          </w:tcPr>
          <w:p w14:paraId="5E5AA1BE"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55FBE5BE"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Yes</w:t>
            </w:r>
          </w:p>
        </w:tc>
      </w:tr>
      <w:tr w:rsidR="00155208" w:rsidRPr="001F6D4B" w14:paraId="0E1EAB16" w14:textId="77777777" w:rsidTr="007829F3">
        <w:tc>
          <w:tcPr>
            <w:tcW w:w="634" w:type="pct"/>
          </w:tcPr>
          <w:p w14:paraId="7034B277"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BYU</w:t>
            </w:r>
          </w:p>
        </w:tc>
        <w:tc>
          <w:tcPr>
            <w:tcW w:w="1234" w:type="pct"/>
            <w:gridSpan w:val="2"/>
          </w:tcPr>
          <w:p w14:paraId="30AF6E20" w14:textId="77777777" w:rsidR="00155208" w:rsidRPr="001F6D4B" w:rsidRDefault="00155208" w:rsidP="007829F3">
            <w:pPr>
              <w:pStyle w:val="NormalWeb"/>
              <w:jc w:val="center"/>
              <w:textAlignment w:val="baseline"/>
              <w:rPr>
                <w:rFonts w:ascii="Times New Roman" w:hAnsi="Times New Roman" w:cs="Times New Roman"/>
                <w:color w:val="FFFFCC"/>
              </w:rPr>
            </w:pPr>
            <w:r w:rsidRPr="001F6D4B">
              <w:rPr>
                <w:rFonts w:ascii="Times New Roman" w:hAnsi="Times New Roman" w:cs="Times New Roman"/>
                <w:color w:val="000000"/>
              </w:rPr>
              <w:t>Yes, though timing questions</w:t>
            </w:r>
          </w:p>
        </w:tc>
        <w:tc>
          <w:tcPr>
            <w:tcW w:w="2210" w:type="pct"/>
          </w:tcPr>
          <w:p w14:paraId="552094D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6 credits/semester</w:t>
            </w:r>
          </w:p>
        </w:tc>
        <w:tc>
          <w:tcPr>
            <w:tcW w:w="575" w:type="pct"/>
          </w:tcPr>
          <w:p w14:paraId="5DFC0148"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27CA11EE" w14:textId="77777777" w:rsidR="00155208" w:rsidRPr="001F6D4B" w:rsidRDefault="00155208" w:rsidP="007829F3">
            <w:pPr>
              <w:textAlignment w:val="baseline"/>
              <w:rPr>
                <w:rFonts w:ascii="Times New Roman" w:hAnsi="Times New Roman" w:cs="Times New Roman"/>
                <w:sz w:val="22"/>
              </w:rPr>
            </w:pPr>
          </w:p>
        </w:tc>
      </w:tr>
      <w:tr w:rsidR="00155208" w:rsidRPr="001F6D4B" w14:paraId="20966B1B" w14:textId="77777777" w:rsidTr="007829F3">
        <w:tc>
          <w:tcPr>
            <w:tcW w:w="634" w:type="pct"/>
          </w:tcPr>
          <w:p w14:paraId="49961361"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Houston</w:t>
            </w:r>
          </w:p>
        </w:tc>
        <w:tc>
          <w:tcPr>
            <w:tcW w:w="1234" w:type="pct"/>
            <w:gridSpan w:val="2"/>
            <w:shd w:val="clear" w:color="auto" w:fill="A8D08D"/>
          </w:tcPr>
          <w:p w14:paraId="1D724669" w14:textId="77777777" w:rsidR="00155208" w:rsidRPr="001F6D4B" w:rsidRDefault="00155208" w:rsidP="007829F3">
            <w:pPr>
              <w:jc w:val="center"/>
              <w:textAlignment w:val="baseline"/>
              <w:rPr>
                <w:rFonts w:ascii="Times New Roman" w:hAnsi="Times New Roman" w:cs="Times New Roman"/>
                <w:sz w:val="22"/>
              </w:rPr>
            </w:pPr>
            <w:r w:rsidRPr="001F6D4B">
              <w:rPr>
                <w:rFonts w:ascii="Times New Roman" w:hAnsi="Times New Roman" w:cs="Times New Roman"/>
                <w:sz w:val="22"/>
              </w:rPr>
              <w:t>Yes</w:t>
            </w:r>
          </w:p>
        </w:tc>
        <w:tc>
          <w:tcPr>
            <w:tcW w:w="2210" w:type="pct"/>
          </w:tcPr>
          <w:p w14:paraId="4403D946"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credits unspecified</w:t>
            </w:r>
          </w:p>
          <w:p w14:paraId="62B335E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in-state tuition</w:t>
            </w:r>
          </w:p>
        </w:tc>
        <w:tc>
          <w:tcPr>
            <w:tcW w:w="575" w:type="pct"/>
          </w:tcPr>
          <w:p w14:paraId="1028F40F" w14:textId="77777777" w:rsidR="00155208" w:rsidRPr="001F6D4B" w:rsidRDefault="00155208" w:rsidP="007829F3">
            <w:pPr>
              <w:textAlignment w:val="baseline"/>
              <w:rPr>
                <w:rFonts w:ascii="Times New Roman" w:hAnsi="Times New Roman" w:cs="Times New Roman"/>
                <w:sz w:val="22"/>
              </w:rPr>
            </w:pPr>
            <w:r w:rsidRPr="001F6D4B">
              <w:rPr>
                <w:rFonts w:ascii="Times New Roman" w:hAnsi="Times New Roman" w:cs="Times New Roman"/>
                <w:sz w:val="22"/>
              </w:rPr>
              <w:t>R1</w:t>
            </w:r>
          </w:p>
        </w:tc>
        <w:tc>
          <w:tcPr>
            <w:tcW w:w="347" w:type="pct"/>
          </w:tcPr>
          <w:p w14:paraId="0E279BF3" w14:textId="77777777" w:rsidR="00155208" w:rsidRPr="001F6D4B" w:rsidRDefault="00155208" w:rsidP="007829F3">
            <w:pPr>
              <w:textAlignment w:val="baseline"/>
              <w:rPr>
                <w:rFonts w:ascii="Times New Roman" w:hAnsi="Times New Roman" w:cs="Times New Roman"/>
                <w:sz w:val="22"/>
              </w:rPr>
            </w:pPr>
          </w:p>
        </w:tc>
      </w:tr>
    </w:tbl>
    <w:p w14:paraId="4597BCA1" w14:textId="77777777" w:rsidR="00155208" w:rsidRPr="00155208" w:rsidRDefault="00155208" w:rsidP="00155208">
      <w:pPr>
        <w:rPr>
          <w:rFonts w:ascii="Times New Roman" w:hAnsi="Times New Roman" w:cs="Times New Roman"/>
          <w:i/>
          <w:iCs/>
          <w:szCs w:val="24"/>
        </w:rPr>
      </w:pPr>
      <w:r w:rsidRPr="00155208">
        <w:rPr>
          <w:rFonts w:ascii="Times New Roman" w:hAnsi="Times New Roman" w:cs="Times New Roman"/>
          <w:i/>
          <w:iCs/>
          <w:szCs w:val="24"/>
        </w:rPr>
        <w:t>NOTE: The committee has retained correspondence of above survey results</w:t>
      </w:r>
    </w:p>
    <w:p w14:paraId="692C53D0" w14:textId="77777777" w:rsidR="00155208" w:rsidRPr="00155208" w:rsidRDefault="00155208" w:rsidP="00155208">
      <w:pPr>
        <w:rPr>
          <w:rFonts w:ascii="Times New Roman" w:hAnsi="Times New Roman" w:cs="Times New Roman"/>
          <w:szCs w:val="24"/>
        </w:rPr>
      </w:pPr>
      <w:r w:rsidRPr="00155208">
        <w:rPr>
          <w:rFonts w:ascii="Times New Roman" w:hAnsi="Times New Roman" w:cs="Times New Roman"/>
          <w:szCs w:val="24"/>
        </w:rPr>
        <w:br w:type="page"/>
      </w:r>
    </w:p>
    <w:p w14:paraId="64983EE8" w14:textId="77777777" w:rsidR="00155208" w:rsidRPr="00155208" w:rsidRDefault="00155208" w:rsidP="00155208">
      <w:pPr>
        <w:rPr>
          <w:rFonts w:ascii="Times New Roman" w:hAnsi="Times New Roman" w:cs="Times New Roman"/>
          <w:szCs w:val="24"/>
        </w:rPr>
      </w:pPr>
      <w:r w:rsidRPr="00155208">
        <w:rPr>
          <w:rFonts w:ascii="Times New Roman" w:hAnsi="Times New Roman" w:cs="Times New Roman"/>
          <w:szCs w:val="24"/>
        </w:rPr>
        <w:lastRenderedPageBreak/>
        <w:t>Providing this option is an additional benefit to help in the recruitment and retention of top talent at OSU that will require no additional costs and provide benefits to the university. Below are just some positive implications for providing this benefit.</w:t>
      </w:r>
    </w:p>
    <w:p w14:paraId="3FB23D26" w14:textId="77777777" w:rsidR="00155208" w:rsidRPr="00155208" w:rsidRDefault="00155208" w:rsidP="00155208">
      <w:pPr>
        <w:rPr>
          <w:rFonts w:ascii="Times New Roman" w:hAnsi="Times New Roman" w:cs="Times New Roman"/>
          <w:szCs w:val="24"/>
        </w:rPr>
      </w:pPr>
    </w:p>
    <w:p w14:paraId="33E09FBD" w14:textId="77777777" w:rsidR="00155208" w:rsidRPr="00155208" w:rsidRDefault="00155208" w:rsidP="00155208">
      <w:pPr>
        <w:pStyle w:val="ListParagraph"/>
        <w:numPr>
          <w:ilvl w:val="0"/>
          <w:numId w:val="9"/>
        </w:numPr>
        <w:spacing w:after="160" w:line="256" w:lineRule="auto"/>
        <w:ind w:right="0"/>
        <w:jc w:val="left"/>
        <w:rPr>
          <w:rFonts w:ascii="Times New Roman" w:hAnsi="Times New Roman" w:cs="Times New Roman"/>
          <w:szCs w:val="24"/>
        </w:rPr>
      </w:pPr>
      <w:r w:rsidRPr="00155208">
        <w:rPr>
          <w:rFonts w:ascii="Times New Roman" w:hAnsi="Times New Roman" w:cs="Times New Roman"/>
          <w:szCs w:val="24"/>
        </w:rPr>
        <w:t>University</w:t>
      </w:r>
    </w:p>
    <w:p w14:paraId="4B5CF3B2" w14:textId="77777777" w:rsidR="00155208" w:rsidRPr="00155208" w:rsidRDefault="00155208" w:rsidP="00155208">
      <w:pPr>
        <w:pStyle w:val="ListParagraph"/>
        <w:numPr>
          <w:ilvl w:val="1"/>
          <w:numId w:val="9"/>
        </w:numPr>
        <w:spacing w:after="160" w:line="256" w:lineRule="auto"/>
        <w:ind w:right="0"/>
        <w:jc w:val="left"/>
        <w:rPr>
          <w:rFonts w:ascii="Times New Roman" w:hAnsi="Times New Roman" w:cs="Times New Roman"/>
          <w:szCs w:val="24"/>
        </w:rPr>
      </w:pPr>
      <w:r w:rsidRPr="00155208">
        <w:rPr>
          <w:rFonts w:ascii="Times New Roman" w:hAnsi="Times New Roman" w:cs="Times New Roman"/>
          <w:szCs w:val="24"/>
        </w:rPr>
        <w:t>Fringe benefit for recruitment and retention of faculty to coincide with dependent policy</w:t>
      </w:r>
    </w:p>
    <w:p w14:paraId="47FDCBEE" w14:textId="77777777" w:rsidR="00155208" w:rsidRPr="00155208" w:rsidRDefault="00155208" w:rsidP="00155208">
      <w:pPr>
        <w:pStyle w:val="ListParagraph"/>
        <w:numPr>
          <w:ilvl w:val="1"/>
          <w:numId w:val="9"/>
        </w:numPr>
        <w:spacing w:after="160" w:line="256" w:lineRule="auto"/>
        <w:ind w:right="0"/>
        <w:jc w:val="left"/>
        <w:rPr>
          <w:rFonts w:ascii="Times New Roman" w:hAnsi="Times New Roman" w:cs="Times New Roman"/>
          <w:szCs w:val="24"/>
        </w:rPr>
      </w:pPr>
      <w:r w:rsidRPr="00155208">
        <w:rPr>
          <w:rFonts w:ascii="Times New Roman" w:hAnsi="Times New Roman" w:cs="Times New Roman"/>
          <w:szCs w:val="24"/>
        </w:rPr>
        <w:t>Interdepartmental collaboration and research opportunities</w:t>
      </w:r>
    </w:p>
    <w:p w14:paraId="6E854240" w14:textId="77777777" w:rsidR="00155208" w:rsidRPr="00155208" w:rsidRDefault="00155208" w:rsidP="00155208">
      <w:pPr>
        <w:pStyle w:val="ListParagraph"/>
        <w:numPr>
          <w:ilvl w:val="0"/>
          <w:numId w:val="9"/>
        </w:numPr>
        <w:spacing w:after="160" w:line="256" w:lineRule="auto"/>
        <w:ind w:right="0"/>
        <w:jc w:val="left"/>
        <w:rPr>
          <w:rFonts w:ascii="Times New Roman" w:hAnsi="Times New Roman" w:cs="Times New Roman"/>
          <w:szCs w:val="24"/>
        </w:rPr>
      </w:pPr>
      <w:r w:rsidRPr="00155208">
        <w:rPr>
          <w:rFonts w:ascii="Times New Roman" w:hAnsi="Times New Roman" w:cs="Times New Roman"/>
          <w:szCs w:val="24"/>
        </w:rPr>
        <w:t>College</w:t>
      </w:r>
    </w:p>
    <w:p w14:paraId="094B7475" w14:textId="77777777" w:rsidR="00155208" w:rsidRPr="00155208" w:rsidRDefault="00155208" w:rsidP="00155208">
      <w:pPr>
        <w:pStyle w:val="ListParagraph"/>
        <w:numPr>
          <w:ilvl w:val="1"/>
          <w:numId w:val="9"/>
        </w:numPr>
        <w:spacing w:after="160" w:line="256" w:lineRule="auto"/>
        <w:ind w:right="0"/>
        <w:jc w:val="left"/>
        <w:rPr>
          <w:rFonts w:ascii="Times New Roman" w:hAnsi="Times New Roman" w:cs="Times New Roman"/>
          <w:szCs w:val="24"/>
        </w:rPr>
      </w:pPr>
      <w:r w:rsidRPr="00155208">
        <w:rPr>
          <w:rFonts w:ascii="Times New Roman" w:hAnsi="Times New Roman" w:cs="Times New Roman"/>
          <w:szCs w:val="24"/>
        </w:rPr>
        <w:t>Accreditation: degree output</w:t>
      </w:r>
    </w:p>
    <w:p w14:paraId="2EBF72DD" w14:textId="77777777" w:rsidR="00155208" w:rsidRPr="00155208" w:rsidRDefault="00155208" w:rsidP="00155208">
      <w:pPr>
        <w:pStyle w:val="ListParagraph"/>
        <w:numPr>
          <w:ilvl w:val="0"/>
          <w:numId w:val="9"/>
        </w:numPr>
        <w:spacing w:after="160" w:line="256" w:lineRule="auto"/>
        <w:ind w:right="0"/>
        <w:jc w:val="left"/>
        <w:rPr>
          <w:rFonts w:ascii="Times New Roman" w:hAnsi="Times New Roman" w:cs="Times New Roman"/>
          <w:szCs w:val="24"/>
        </w:rPr>
      </w:pPr>
      <w:r w:rsidRPr="00155208">
        <w:rPr>
          <w:rFonts w:ascii="Times New Roman" w:hAnsi="Times New Roman" w:cs="Times New Roman"/>
          <w:szCs w:val="24"/>
        </w:rPr>
        <w:t>Individual</w:t>
      </w:r>
    </w:p>
    <w:p w14:paraId="01A65145" w14:textId="77777777" w:rsidR="00155208" w:rsidRPr="00155208" w:rsidRDefault="00155208" w:rsidP="00155208">
      <w:pPr>
        <w:pStyle w:val="ListParagraph"/>
        <w:numPr>
          <w:ilvl w:val="1"/>
          <w:numId w:val="9"/>
        </w:numPr>
        <w:spacing w:after="160" w:line="256" w:lineRule="auto"/>
        <w:ind w:right="0"/>
        <w:jc w:val="left"/>
        <w:rPr>
          <w:rFonts w:ascii="Times New Roman" w:hAnsi="Times New Roman" w:cs="Times New Roman"/>
          <w:szCs w:val="24"/>
        </w:rPr>
      </w:pPr>
      <w:r w:rsidRPr="00155208">
        <w:rPr>
          <w:rFonts w:ascii="Times New Roman" w:hAnsi="Times New Roman" w:cs="Times New Roman"/>
          <w:szCs w:val="24"/>
        </w:rPr>
        <w:t>Broaden knowledge</w:t>
      </w:r>
    </w:p>
    <w:p w14:paraId="64887465" w14:textId="77777777" w:rsidR="00155208" w:rsidRPr="00155208" w:rsidRDefault="00155208" w:rsidP="00155208">
      <w:pPr>
        <w:pStyle w:val="ListParagraph"/>
        <w:numPr>
          <w:ilvl w:val="1"/>
          <w:numId w:val="9"/>
        </w:numPr>
        <w:spacing w:after="160" w:line="256" w:lineRule="auto"/>
        <w:ind w:right="0"/>
        <w:jc w:val="left"/>
        <w:rPr>
          <w:rFonts w:ascii="Times New Roman" w:hAnsi="Times New Roman" w:cs="Times New Roman"/>
          <w:szCs w:val="24"/>
        </w:rPr>
      </w:pPr>
      <w:r w:rsidRPr="00155208">
        <w:rPr>
          <w:rFonts w:ascii="Times New Roman" w:hAnsi="Times New Roman" w:cs="Times New Roman"/>
          <w:szCs w:val="24"/>
        </w:rPr>
        <w:t>Pick up needed skills to aid in teaching/research</w:t>
      </w:r>
    </w:p>
    <w:p w14:paraId="61E62699" w14:textId="77777777" w:rsidR="00155208" w:rsidRPr="00155208" w:rsidRDefault="00155208" w:rsidP="00155208">
      <w:pPr>
        <w:rPr>
          <w:rFonts w:ascii="Times New Roman" w:hAnsi="Times New Roman" w:cs="Times New Roman"/>
          <w:szCs w:val="24"/>
        </w:rPr>
      </w:pPr>
      <w:r w:rsidRPr="00155208">
        <w:rPr>
          <w:rFonts w:ascii="Times New Roman" w:hAnsi="Times New Roman" w:cs="Times New Roman"/>
          <w:szCs w:val="24"/>
        </w:rPr>
        <w:t>The University could market this on their site as a recruitment tool. For example, Baylor markets this to faculty, staff, and their families.</w:t>
      </w:r>
    </w:p>
    <w:p w14:paraId="5563B411" w14:textId="77777777" w:rsidR="00155208" w:rsidRPr="00155208" w:rsidRDefault="00155208" w:rsidP="00155208">
      <w:pPr>
        <w:rPr>
          <w:rFonts w:ascii="Times New Roman" w:hAnsi="Times New Roman" w:cs="Times New Roman"/>
          <w:szCs w:val="24"/>
        </w:rPr>
      </w:pPr>
    </w:p>
    <w:p w14:paraId="6CFFCD02" w14:textId="77777777" w:rsidR="00155208" w:rsidRPr="00155208" w:rsidRDefault="00155208" w:rsidP="00155208">
      <w:pPr>
        <w:rPr>
          <w:rFonts w:ascii="Times New Roman" w:hAnsi="Times New Roman" w:cs="Times New Roman"/>
          <w:i/>
          <w:szCs w:val="24"/>
        </w:rPr>
      </w:pPr>
      <w:r w:rsidRPr="00155208">
        <w:rPr>
          <w:rFonts w:ascii="Times New Roman" w:hAnsi="Times New Roman" w:cs="Times New Roman"/>
          <w:i/>
          <w:szCs w:val="24"/>
        </w:rPr>
        <w:t>Educating men and women for worldwide leadership and service is at the core of our mission.  We value education for our employees and their families, as well as our students. Learn more about education benefits for staff and faculty by clicking the links below.</w:t>
      </w:r>
      <w:r w:rsidRPr="00155208">
        <w:rPr>
          <w:rStyle w:val="FootnoteReference"/>
          <w:rFonts w:ascii="Times New Roman" w:hAnsi="Times New Roman" w:cs="Times New Roman"/>
          <w:i/>
          <w:szCs w:val="24"/>
        </w:rPr>
        <w:footnoteReference w:id="2"/>
      </w:r>
    </w:p>
    <w:p w14:paraId="16D05D97" w14:textId="77777777" w:rsidR="008F05D3" w:rsidRPr="00155208" w:rsidRDefault="008F05D3" w:rsidP="00F7736F">
      <w:pPr>
        <w:ind w:left="0"/>
        <w:rPr>
          <w:rFonts w:ascii="Times New Roman" w:hAnsi="Times New Roman" w:cs="Times New Roman"/>
          <w:szCs w:val="24"/>
        </w:rPr>
      </w:pPr>
    </w:p>
    <w:sectPr w:rsidR="008F05D3" w:rsidRPr="00155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A203" w14:textId="77777777" w:rsidR="008305B7" w:rsidRDefault="008305B7" w:rsidP="00155208">
      <w:pPr>
        <w:spacing w:after="0" w:line="240" w:lineRule="auto"/>
      </w:pPr>
      <w:r>
        <w:separator/>
      </w:r>
    </w:p>
  </w:endnote>
  <w:endnote w:type="continuationSeparator" w:id="0">
    <w:p w14:paraId="2CEFFB39" w14:textId="77777777" w:rsidR="008305B7" w:rsidRDefault="008305B7" w:rsidP="0015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7449" w14:textId="77777777" w:rsidR="008305B7" w:rsidRDefault="008305B7" w:rsidP="00155208">
      <w:pPr>
        <w:spacing w:after="0" w:line="240" w:lineRule="auto"/>
      </w:pPr>
      <w:r>
        <w:separator/>
      </w:r>
    </w:p>
  </w:footnote>
  <w:footnote w:type="continuationSeparator" w:id="0">
    <w:p w14:paraId="4AA76F8B" w14:textId="77777777" w:rsidR="008305B7" w:rsidRDefault="008305B7" w:rsidP="00155208">
      <w:pPr>
        <w:spacing w:after="0" w:line="240" w:lineRule="auto"/>
      </w:pPr>
      <w:r>
        <w:continuationSeparator/>
      </w:r>
    </w:p>
  </w:footnote>
  <w:footnote w:id="1">
    <w:p w14:paraId="2C68C7F4" w14:textId="77777777" w:rsidR="00155208" w:rsidRDefault="00155208" w:rsidP="00155208">
      <w:pPr>
        <w:pStyle w:val="FootnoteText"/>
      </w:pPr>
      <w:r>
        <w:rPr>
          <w:rStyle w:val="FootnoteReference"/>
        </w:rPr>
        <w:footnoteRef/>
      </w:r>
      <w:r>
        <w:t xml:space="preserve"> </w:t>
      </w:r>
      <w:hyperlink r:id="rId1" w:history="1">
        <w:r w:rsidRPr="00622A57">
          <w:rPr>
            <w:rStyle w:val="Hyperlink"/>
          </w:rPr>
          <w:t>http://catalog.okstate.edu/graduate-college/</w:t>
        </w:r>
      </w:hyperlink>
    </w:p>
  </w:footnote>
  <w:footnote w:id="2">
    <w:p w14:paraId="4ACBA9CA" w14:textId="77777777" w:rsidR="00155208" w:rsidRDefault="00155208" w:rsidP="00155208">
      <w:pPr>
        <w:pStyle w:val="FootnoteText"/>
      </w:pPr>
      <w:r>
        <w:rPr>
          <w:rStyle w:val="FootnoteReference"/>
        </w:rPr>
        <w:footnoteRef/>
      </w:r>
      <w:r>
        <w:t xml:space="preserve"> </w:t>
      </w:r>
      <w:hyperlink r:id="rId2" w:history="1">
        <w:r w:rsidRPr="00622A57">
          <w:rPr>
            <w:rStyle w:val="Hyperlink"/>
          </w:rPr>
          <w:t>https://www.baylor.edu/hr/index.php?id=951429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E6E"/>
    <w:multiLevelType w:val="multilevel"/>
    <w:tmpl w:val="E5D255C2"/>
    <w:lvl w:ilvl="0">
      <w:start w:val="1"/>
      <w:numFmt w:val="bullet"/>
      <w:lvlText w:val=""/>
      <w:lvlJc w:val="left"/>
      <w:pPr>
        <w:tabs>
          <w:tab w:val="num" w:pos="1430"/>
        </w:tabs>
        <w:ind w:left="1430" w:hanging="360"/>
      </w:pPr>
      <w:rPr>
        <w:rFonts w:ascii="Symbol" w:hAnsi="Symbol" w:hint="default"/>
        <w:sz w:val="20"/>
      </w:rPr>
    </w:lvl>
    <w:lvl w:ilvl="1" w:tentative="1">
      <w:start w:val="1"/>
      <w:numFmt w:val="bullet"/>
      <w:lvlText w:val="o"/>
      <w:lvlJc w:val="left"/>
      <w:pPr>
        <w:tabs>
          <w:tab w:val="num" w:pos="2150"/>
        </w:tabs>
        <w:ind w:left="2150" w:hanging="360"/>
      </w:pPr>
      <w:rPr>
        <w:rFonts w:ascii="Courier New" w:hAnsi="Courier New" w:hint="default"/>
        <w:sz w:val="20"/>
      </w:rPr>
    </w:lvl>
    <w:lvl w:ilvl="2" w:tentative="1">
      <w:start w:val="1"/>
      <w:numFmt w:val="bullet"/>
      <w:lvlText w:val=""/>
      <w:lvlJc w:val="left"/>
      <w:pPr>
        <w:tabs>
          <w:tab w:val="num" w:pos="2870"/>
        </w:tabs>
        <w:ind w:left="2870" w:hanging="360"/>
      </w:pPr>
      <w:rPr>
        <w:rFonts w:ascii="Wingdings" w:hAnsi="Wingdings" w:hint="default"/>
        <w:sz w:val="20"/>
      </w:rPr>
    </w:lvl>
    <w:lvl w:ilvl="3" w:tentative="1">
      <w:start w:val="1"/>
      <w:numFmt w:val="bullet"/>
      <w:lvlText w:val=""/>
      <w:lvlJc w:val="left"/>
      <w:pPr>
        <w:tabs>
          <w:tab w:val="num" w:pos="3590"/>
        </w:tabs>
        <w:ind w:left="3590" w:hanging="360"/>
      </w:pPr>
      <w:rPr>
        <w:rFonts w:ascii="Wingdings" w:hAnsi="Wingdings" w:hint="default"/>
        <w:sz w:val="20"/>
      </w:rPr>
    </w:lvl>
    <w:lvl w:ilvl="4" w:tentative="1">
      <w:start w:val="1"/>
      <w:numFmt w:val="bullet"/>
      <w:lvlText w:val=""/>
      <w:lvlJc w:val="left"/>
      <w:pPr>
        <w:tabs>
          <w:tab w:val="num" w:pos="4310"/>
        </w:tabs>
        <w:ind w:left="4310" w:hanging="360"/>
      </w:pPr>
      <w:rPr>
        <w:rFonts w:ascii="Wingdings" w:hAnsi="Wingdings" w:hint="default"/>
        <w:sz w:val="20"/>
      </w:rPr>
    </w:lvl>
    <w:lvl w:ilvl="5" w:tentative="1">
      <w:start w:val="1"/>
      <w:numFmt w:val="bullet"/>
      <w:lvlText w:val=""/>
      <w:lvlJc w:val="left"/>
      <w:pPr>
        <w:tabs>
          <w:tab w:val="num" w:pos="5030"/>
        </w:tabs>
        <w:ind w:left="5030" w:hanging="360"/>
      </w:pPr>
      <w:rPr>
        <w:rFonts w:ascii="Wingdings" w:hAnsi="Wingdings" w:hint="default"/>
        <w:sz w:val="20"/>
      </w:rPr>
    </w:lvl>
    <w:lvl w:ilvl="6" w:tentative="1">
      <w:start w:val="1"/>
      <w:numFmt w:val="bullet"/>
      <w:lvlText w:val=""/>
      <w:lvlJc w:val="left"/>
      <w:pPr>
        <w:tabs>
          <w:tab w:val="num" w:pos="5750"/>
        </w:tabs>
        <w:ind w:left="5750" w:hanging="360"/>
      </w:pPr>
      <w:rPr>
        <w:rFonts w:ascii="Wingdings" w:hAnsi="Wingdings" w:hint="default"/>
        <w:sz w:val="20"/>
      </w:rPr>
    </w:lvl>
    <w:lvl w:ilvl="7" w:tentative="1">
      <w:start w:val="1"/>
      <w:numFmt w:val="bullet"/>
      <w:lvlText w:val=""/>
      <w:lvlJc w:val="left"/>
      <w:pPr>
        <w:tabs>
          <w:tab w:val="num" w:pos="6470"/>
        </w:tabs>
        <w:ind w:left="6470" w:hanging="360"/>
      </w:pPr>
      <w:rPr>
        <w:rFonts w:ascii="Wingdings" w:hAnsi="Wingdings" w:hint="default"/>
        <w:sz w:val="20"/>
      </w:rPr>
    </w:lvl>
    <w:lvl w:ilvl="8" w:tentative="1">
      <w:start w:val="1"/>
      <w:numFmt w:val="bullet"/>
      <w:lvlText w:val=""/>
      <w:lvlJc w:val="left"/>
      <w:pPr>
        <w:tabs>
          <w:tab w:val="num" w:pos="7190"/>
        </w:tabs>
        <w:ind w:left="7190" w:hanging="360"/>
      </w:pPr>
      <w:rPr>
        <w:rFonts w:ascii="Wingdings" w:hAnsi="Wingdings" w:hint="default"/>
        <w:sz w:val="20"/>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5C65ED"/>
    <w:multiLevelType w:val="hybridMultilevel"/>
    <w:tmpl w:val="1F6028A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15:restartNumberingAfterBreak="0">
    <w:nsid w:val="2E5E02DA"/>
    <w:multiLevelType w:val="hybridMultilevel"/>
    <w:tmpl w:val="8014EAC4"/>
    <w:lvl w:ilvl="0" w:tplc="2694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7" w15:restartNumberingAfterBreak="0">
    <w:nsid w:val="53553137"/>
    <w:multiLevelType w:val="hybridMultilevel"/>
    <w:tmpl w:val="6D640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1F4B48"/>
    <w:multiLevelType w:val="hybridMultilevel"/>
    <w:tmpl w:val="4DA401BE"/>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D73F2"/>
    <w:multiLevelType w:val="hybridMultilevel"/>
    <w:tmpl w:val="AFF83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C40B5"/>
    <w:multiLevelType w:val="hybridMultilevel"/>
    <w:tmpl w:val="D96EEF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1"/>
  </w:num>
  <w:num w:numId="2" w16cid:durableId="535046767">
    <w:abstractNumId w:val="1"/>
  </w:num>
  <w:num w:numId="3" w16cid:durableId="281038824">
    <w:abstractNumId w:val="6"/>
  </w:num>
  <w:num w:numId="4" w16cid:durableId="2146922929">
    <w:abstractNumId w:val="5"/>
  </w:num>
  <w:num w:numId="5" w16cid:durableId="631446147">
    <w:abstractNumId w:val="4"/>
  </w:num>
  <w:num w:numId="6" w16cid:durableId="777868613">
    <w:abstractNumId w:val="0"/>
  </w:num>
  <w:num w:numId="7" w16cid:durableId="1175535046">
    <w:abstractNumId w:val="2"/>
  </w:num>
  <w:num w:numId="8" w16cid:durableId="123234010">
    <w:abstractNumId w:val="3"/>
  </w:num>
  <w:num w:numId="9" w16cid:durableId="844170074">
    <w:abstractNumId w:val="8"/>
  </w:num>
  <w:num w:numId="10" w16cid:durableId="1782874026">
    <w:abstractNumId w:val="9"/>
  </w:num>
  <w:num w:numId="11" w16cid:durableId="288052504">
    <w:abstractNumId w:val="7"/>
  </w:num>
  <w:num w:numId="12" w16cid:durableId="1176110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26915"/>
    <w:rsid w:val="000548EA"/>
    <w:rsid w:val="00074801"/>
    <w:rsid w:val="00082BEE"/>
    <w:rsid w:val="0008365F"/>
    <w:rsid w:val="000950B0"/>
    <w:rsid w:val="0009599F"/>
    <w:rsid w:val="000967E2"/>
    <w:rsid w:val="000A23BA"/>
    <w:rsid w:val="000A2868"/>
    <w:rsid w:val="000A5D56"/>
    <w:rsid w:val="000D7C0F"/>
    <w:rsid w:val="000E313A"/>
    <w:rsid w:val="000F072B"/>
    <w:rsid w:val="000F772D"/>
    <w:rsid w:val="00101A2D"/>
    <w:rsid w:val="001117AB"/>
    <w:rsid w:val="001328C6"/>
    <w:rsid w:val="00135E96"/>
    <w:rsid w:val="0014160F"/>
    <w:rsid w:val="00155208"/>
    <w:rsid w:val="001709B4"/>
    <w:rsid w:val="00171F70"/>
    <w:rsid w:val="001752F0"/>
    <w:rsid w:val="00175A9D"/>
    <w:rsid w:val="001A0B9A"/>
    <w:rsid w:val="001A58A7"/>
    <w:rsid w:val="001A5ACE"/>
    <w:rsid w:val="001C3146"/>
    <w:rsid w:val="001C72AF"/>
    <w:rsid w:val="001F6D4B"/>
    <w:rsid w:val="00206EA1"/>
    <w:rsid w:val="00227E70"/>
    <w:rsid w:val="00230F0E"/>
    <w:rsid w:val="002330E0"/>
    <w:rsid w:val="00241E36"/>
    <w:rsid w:val="00242BF0"/>
    <w:rsid w:val="00255D57"/>
    <w:rsid w:val="0027318D"/>
    <w:rsid w:val="00287AC1"/>
    <w:rsid w:val="002B7907"/>
    <w:rsid w:val="002B7DD7"/>
    <w:rsid w:val="002D42B4"/>
    <w:rsid w:val="002D750E"/>
    <w:rsid w:val="002F1A0A"/>
    <w:rsid w:val="00306447"/>
    <w:rsid w:val="00330D38"/>
    <w:rsid w:val="003409BC"/>
    <w:rsid w:val="00351230"/>
    <w:rsid w:val="003512AE"/>
    <w:rsid w:val="00373BA0"/>
    <w:rsid w:val="00383834"/>
    <w:rsid w:val="003966FE"/>
    <w:rsid w:val="003B31A2"/>
    <w:rsid w:val="003B4F38"/>
    <w:rsid w:val="003B57F4"/>
    <w:rsid w:val="003D1E41"/>
    <w:rsid w:val="003D4237"/>
    <w:rsid w:val="003D7790"/>
    <w:rsid w:val="003F2CCB"/>
    <w:rsid w:val="00412EFB"/>
    <w:rsid w:val="004265D4"/>
    <w:rsid w:val="00426D9F"/>
    <w:rsid w:val="00471C84"/>
    <w:rsid w:val="0047531E"/>
    <w:rsid w:val="00477E0B"/>
    <w:rsid w:val="0049108D"/>
    <w:rsid w:val="00493339"/>
    <w:rsid w:val="004974D0"/>
    <w:rsid w:val="004B543A"/>
    <w:rsid w:val="004B645C"/>
    <w:rsid w:val="004C09E1"/>
    <w:rsid w:val="004C0BAA"/>
    <w:rsid w:val="004D27E1"/>
    <w:rsid w:val="004D7E0B"/>
    <w:rsid w:val="004E18F8"/>
    <w:rsid w:val="00527767"/>
    <w:rsid w:val="00534D0A"/>
    <w:rsid w:val="005416FB"/>
    <w:rsid w:val="00541EF2"/>
    <w:rsid w:val="00554E9B"/>
    <w:rsid w:val="00562636"/>
    <w:rsid w:val="00564AB3"/>
    <w:rsid w:val="005716D4"/>
    <w:rsid w:val="00583B58"/>
    <w:rsid w:val="0059313F"/>
    <w:rsid w:val="005951A8"/>
    <w:rsid w:val="005C4186"/>
    <w:rsid w:val="005F40D0"/>
    <w:rsid w:val="0060013C"/>
    <w:rsid w:val="0060046A"/>
    <w:rsid w:val="006008B4"/>
    <w:rsid w:val="0060417E"/>
    <w:rsid w:val="00607417"/>
    <w:rsid w:val="006121E0"/>
    <w:rsid w:val="006163E5"/>
    <w:rsid w:val="00617956"/>
    <w:rsid w:val="0062222C"/>
    <w:rsid w:val="006264BF"/>
    <w:rsid w:val="0064347E"/>
    <w:rsid w:val="0065689A"/>
    <w:rsid w:val="006727A2"/>
    <w:rsid w:val="00686F02"/>
    <w:rsid w:val="006A43F2"/>
    <w:rsid w:val="006C448D"/>
    <w:rsid w:val="006C6C08"/>
    <w:rsid w:val="006D76A7"/>
    <w:rsid w:val="006E65A8"/>
    <w:rsid w:val="007103AD"/>
    <w:rsid w:val="0071314B"/>
    <w:rsid w:val="00715D5D"/>
    <w:rsid w:val="0073164D"/>
    <w:rsid w:val="00736CE9"/>
    <w:rsid w:val="007429A5"/>
    <w:rsid w:val="00743782"/>
    <w:rsid w:val="0075347A"/>
    <w:rsid w:val="00775B75"/>
    <w:rsid w:val="00796083"/>
    <w:rsid w:val="007A506F"/>
    <w:rsid w:val="007A6124"/>
    <w:rsid w:val="007B5E3B"/>
    <w:rsid w:val="007B6A18"/>
    <w:rsid w:val="007E2BC4"/>
    <w:rsid w:val="00801031"/>
    <w:rsid w:val="008101AC"/>
    <w:rsid w:val="00815892"/>
    <w:rsid w:val="008305B7"/>
    <w:rsid w:val="008D2ECF"/>
    <w:rsid w:val="008E3514"/>
    <w:rsid w:val="008E377A"/>
    <w:rsid w:val="008F05D3"/>
    <w:rsid w:val="008F79E8"/>
    <w:rsid w:val="00900F24"/>
    <w:rsid w:val="00905EA8"/>
    <w:rsid w:val="009147BC"/>
    <w:rsid w:val="00916B98"/>
    <w:rsid w:val="00962953"/>
    <w:rsid w:val="00982840"/>
    <w:rsid w:val="00992A82"/>
    <w:rsid w:val="00994E97"/>
    <w:rsid w:val="009960F9"/>
    <w:rsid w:val="009A2E2B"/>
    <w:rsid w:val="009B0C9E"/>
    <w:rsid w:val="009E5835"/>
    <w:rsid w:val="009E7D39"/>
    <w:rsid w:val="00A11FBE"/>
    <w:rsid w:val="00A145FB"/>
    <w:rsid w:val="00A26184"/>
    <w:rsid w:val="00A30B36"/>
    <w:rsid w:val="00A40E02"/>
    <w:rsid w:val="00A5184F"/>
    <w:rsid w:val="00A60471"/>
    <w:rsid w:val="00A6118E"/>
    <w:rsid w:val="00A62E2C"/>
    <w:rsid w:val="00A85953"/>
    <w:rsid w:val="00A87895"/>
    <w:rsid w:val="00AA3A22"/>
    <w:rsid w:val="00AA5B33"/>
    <w:rsid w:val="00AB052F"/>
    <w:rsid w:val="00AC33A2"/>
    <w:rsid w:val="00AC5DFD"/>
    <w:rsid w:val="00AD6ACE"/>
    <w:rsid w:val="00AE76FD"/>
    <w:rsid w:val="00B10E24"/>
    <w:rsid w:val="00B3201C"/>
    <w:rsid w:val="00B333EF"/>
    <w:rsid w:val="00B355F2"/>
    <w:rsid w:val="00B41B71"/>
    <w:rsid w:val="00B42FD7"/>
    <w:rsid w:val="00BA15EB"/>
    <w:rsid w:val="00BC4535"/>
    <w:rsid w:val="00BD230F"/>
    <w:rsid w:val="00BE75CE"/>
    <w:rsid w:val="00BF4436"/>
    <w:rsid w:val="00BF5379"/>
    <w:rsid w:val="00C22DE4"/>
    <w:rsid w:val="00C4189B"/>
    <w:rsid w:val="00C42803"/>
    <w:rsid w:val="00C43109"/>
    <w:rsid w:val="00C45769"/>
    <w:rsid w:val="00C50BFE"/>
    <w:rsid w:val="00C52C0D"/>
    <w:rsid w:val="00C63DDC"/>
    <w:rsid w:val="00C645FE"/>
    <w:rsid w:val="00C70F92"/>
    <w:rsid w:val="00C83AA7"/>
    <w:rsid w:val="00C93C6C"/>
    <w:rsid w:val="00C96A6F"/>
    <w:rsid w:val="00CA2D44"/>
    <w:rsid w:val="00CB1550"/>
    <w:rsid w:val="00D020BA"/>
    <w:rsid w:val="00D03C07"/>
    <w:rsid w:val="00D16B27"/>
    <w:rsid w:val="00D16CF7"/>
    <w:rsid w:val="00D332EF"/>
    <w:rsid w:val="00D50B81"/>
    <w:rsid w:val="00D624F7"/>
    <w:rsid w:val="00D7364F"/>
    <w:rsid w:val="00D7578D"/>
    <w:rsid w:val="00D83FDC"/>
    <w:rsid w:val="00D841EB"/>
    <w:rsid w:val="00DC51DD"/>
    <w:rsid w:val="00DD29FB"/>
    <w:rsid w:val="00DF2B13"/>
    <w:rsid w:val="00E00EC8"/>
    <w:rsid w:val="00E22BA2"/>
    <w:rsid w:val="00E278E7"/>
    <w:rsid w:val="00E27AA9"/>
    <w:rsid w:val="00E32449"/>
    <w:rsid w:val="00E331EF"/>
    <w:rsid w:val="00E34382"/>
    <w:rsid w:val="00E41594"/>
    <w:rsid w:val="00E47BE0"/>
    <w:rsid w:val="00E61AB1"/>
    <w:rsid w:val="00E63F8C"/>
    <w:rsid w:val="00E6445C"/>
    <w:rsid w:val="00E67CFF"/>
    <w:rsid w:val="00E725A4"/>
    <w:rsid w:val="00E73EB4"/>
    <w:rsid w:val="00E754F9"/>
    <w:rsid w:val="00E81D11"/>
    <w:rsid w:val="00E84AEA"/>
    <w:rsid w:val="00E911A6"/>
    <w:rsid w:val="00E96FEA"/>
    <w:rsid w:val="00EC1278"/>
    <w:rsid w:val="00EC1F16"/>
    <w:rsid w:val="00EC71C7"/>
    <w:rsid w:val="00EE01B3"/>
    <w:rsid w:val="00EE2D47"/>
    <w:rsid w:val="00EE3914"/>
    <w:rsid w:val="00EE57A1"/>
    <w:rsid w:val="00EF586B"/>
    <w:rsid w:val="00F102A8"/>
    <w:rsid w:val="00F45D5A"/>
    <w:rsid w:val="00F56D4B"/>
    <w:rsid w:val="00F62315"/>
    <w:rsid w:val="00F63B68"/>
    <w:rsid w:val="00F6743C"/>
    <w:rsid w:val="00F7736F"/>
    <w:rsid w:val="00F964EE"/>
    <w:rsid w:val="00FA667E"/>
    <w:rsid w:val="00FB4864"/>
    <w:rsid w:val="00FC6392"/>
    <w:rsid w:val="00FE398F"/>
    <w:rsid w:val="00FE3A09"/>
    <w:rsid w:val="00FF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character" w:styleId="UnresolvedMention">
    <w:name w:val="Unresolved Mention"/>
    <w:basedOn w:val="DefaultParagraphFont"/>
    <w:uiPriority w:val="99"/>
    <w:semiHidden/>
    <w:unhideWhenUsed/>
    <w:rsid w:val="00992A82"/>
    <w:rPr>
      <w:color w:val="605E5C"/>
      <w:shd w:val="clear" w:color="auto" w:fill="E1DFDD"/>
    </w:rPr>
  </w:style>
  <w:style w:type="paragraph" w:styleId="FootnoteText">
    <w:name w:val="footnote text"/>
    <w:basedOn w:val="Normal"/>
    <w:link w:val="FootnoteTextChar"/>
    <w:semiHidden/>
    <w:unhideWhenUsed/>
    <w:rsid w:val="00155208"/>
    <w:pPr>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15520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55208"/>
    <w:rPr>
      <w:vertAlign w:val="superscript"/>
    </w:rPr>
  </w:style>
  <w:style w:type="table" w:customStyle="1" w:styleId="TableGrid1">
    <w:name w:val="Table Grid1"/>
    <w:basedOn w:val="TableNormal"/>
    <w:next w:val="TableGrid"/>
    <w:uiPriority w:val="39"/>
    <w:rsid w:val="001552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nvas.okstate.edu/courses/84470/assignments/23752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okstate.edu/courses/84470/assignments/24838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sac.okstate.edu%2Fawards%2Fscholarships&amp;data=05%7C02%7Ctricia.white%40okstate.edu%7Ca35557ac08884cc37b8108de63423b51%7C2a69c91de8494e34a230cdf8b27e1964%7C0%7C0%7C639057333385681435%7CUnknown%7CTWFpbGZsb3d8eyJFbXB0eU1hcGkiOnRydWUsIlYiOiIwLjAuMDAwMCIsIlAiOiJXaW4zMiIsIkFOIjoiTWFpbCIsIldUIjoyfQ%3D%3D%7C0%7C%7C%7C&amp;sdata=ttZbXEDmG12Fqh7iA41033BlAtAuofpqiec0QPG9uDw%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kstate-edu.zoom.us/j/9713284383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aylor.edu/hr/index.php?id=951429" TargetMode="External"/><Relationship Id="rId1" Type="http://schemas.openxmlformats.org/officeDocument/2006/relationships/hyperlink" Target="http://catalog.okstate.edu/graduate-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11</cp:revision>
  <cp:lastPrinted>2025-08-11T18:05:00Z</cp:lastPrinted>
  <dcterms:created xsi:type="dcterms:W3CDTF">2026-02-03T20:29:00Z</dcterms:created>
  <dcterms:modified xsi:type="dcterms:W3CDTF">2026-02-05T20:33:00Z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